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5B14"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6760CF70"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7144BC83"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3C1634C3" w14:textId="77777777" w:rsidR="00414774" w:rsidRPr="00414774" w:rsidRDefault="00414774" w:rsidP="006E6B05">
      <w:pPr>
        <w:spacing w:after="0" w:line="276" w:lineRule="auto"/>
        <w:rPr>
          <w:rFonts w:ascii="Arial" w:hAnsi="Arial" w:cs="Arial"/>
          <w:b/>
          <w:bCs/>
          <w:kern w:val="0"/>
          <w14:ligatures w14:val="none"/>
        </w:rPr>
      </w:pPr>
      <w:r w:rsidRPr="00414774">
        <w:rPr>
          <w:rFonts w:ascii="Arial" w:hAnsi="Arial" w:cs="Arial"/>
          <w:b/>
          <w:bCs/>
          <w:kern w:val="0"/>
          <w14:ligatures w14:val="none"/>
        </w:rPr>
        <w:tab/>
      </w:r>
    </w:p>
    <w:p w14:paraId="5EB79CEB" w14:textId="466705B1" w:rsidR="006E6B05" w:rsidRDefault="006E6B05" w:rsidP="00780160">
      <w:pPr>
        <w:spacing w:line="240" w:lineRule="auto"/>
        <w:rPr>
          <w:rFonts w:ascii="Arial" w:hAnsi="Arial" w:cs="Arial"/>
          <w:b/>
          <w:bCs/>
          <w:kern w:val="0"/>
          <w14:ligatures w14:val="none"/>
        </w:rPr>
      </w:pPr>
      <w:r w:rsidRPr="006E6B05">
        <w:rPr>
          <w:rFonts w:ascii="Arial" w:hAnsi="Arial" w:cs="Arial"/>
          <w:b/>
          <w:bCs/>
          <w:kern w:val="0"/>
          <w14:ligatures w14:val="none"/>
        </w:rPr>
        <w:t>Professor Hai-Sui Yu</w:t>
      </w:r>
      <w:bookmarkStart w:id="0" w:name="_Hlk177536647"/>
      <w:r>
        <w:rPr>
          <w:rFonts w:ascii="Arial" w:hAnsi="Arial" w:cs="Arial"/>
          <w:b/>
          <w:bCs/>
          <w:kern w:val="0"/>
          <w14:ligatures w14:val="none"/>
        </w:rPr>
        <w:t xml:space="preserve"> and the</w:t>
      </w:r>
    </w:p>
    <w:p w14:paraId="20BA021C" w14:textId="77777777" w:rsidR="00780160" w:rsidRDefault="00D007BD" w:rsidP="00780160">
      <w:pPr>
        <w:spacing w:line="240" w:lineRule="auto"/>
        <w:rPr>
          <w:rFonts w:ascii="Arial" w:hAnsi="Arial" w:cs="Arial"/>
          <w:b/>
          <w:bCs/>
          <w:kern w:val="0"/>
          <w14:ligatures w14:val="none"/>
        </w:rPr>
      </w:pPr>
      <w:r>
        <w:rPr>
          <w:rFonts w:ascii="Arial" w:hAnsi="Arial" w:cs="Arial"/>
          <w:b/>
          <w:bCs/>
          <w:kern w:val="0"/>
          <w14:ligatures w14:val="none"/>
        </w:rPr>
        <w:t>University Executive Group</w:t>
      </w:r>
      <w:r w:rsidR="009B0A07" w:rsidRPr="009B0A07">
        <w:rPr>
          <w:rFonts w:ascii="Arial" w:hAnsi="Arial" w:cs="Arial"/>
          <w:b/>
          <w:bCs/>
          <w:kern w:val="0"/>
          <w14:ligatures w14:val="none"/>
        </w:rPr>
        <w:t xml:space="preserve"> </w:t>
      </w:r>
    </w:p>
    <w:p w14:paraId="7929F3C4" w14:textId="64FEDEE6" w:rsidR="00780160" w:rsidRDefault="00780160" w:rsidP="00780160">
      <w:pPr>
        <w:spacing w:line="240" w:lineRule="auto"/>
        <w:rPr>
          <w:rFonts w:ascii="Arial" w:hAnsi="Arial" w:cs="Arial"/>
          <w:b/>
          <w:bCs/>
          <w:kern w:val="0"/>
          <w14:ligatures w14:val="none"/>
        </w:rPr>
      </w:pPr>
      <w:r>
        <w:rPr>
          <w:rFonts w:ascii="Arial" w:hAnsi="Arial" w:cs="Arial"/>
          <w:b/>
          <w:bCs/>
          <w:kern w:val="0"/>
          <w14:ligatures w14:val="none"/>
        </w:rPr>
        <w:t>University of Leeds</w:t>
      </w:r>
    </w:p>
    <w:p w14:paraId="658ADDB5" w14:textId="6BECDEBD" w:rsidR="00780160" w:rsidRPr="00780160" w:rsidRDefault="00780160" w:rsidP="00780160">
      <w:pPr>
        <w:spacing w:line="240" w:lineRule="auto"/>
        <w:rPr>
          <w:rFonts w:ascii="Arial" w:hAnsi="Arial" w:cs="Arial"/>
          <w:b/>
          <w:bCs/>
          <w:kern w:val="0"/>
          <w14:ligatures w14:val="none"/>
        </w:rPr>
      </w:pPr>
      <w:r w:rsidRPr="00780160">
        <w:rPr>
          <w:rFonts w:ascii="Arial" w:hAnsi="Arial" w:cs="Arial"/>
          <w:b/>
          <w:bCs/>
          <w:kern w:val="0"/>
          <w14:ligatures w14:val="none"/>
        </w:rPr>
        <w:t>Woodhouse Lane</w:t>
      </w:r>
    </w:p>
    <w:p w14:paraId="549831B1" w14:textId="77777777" w:rsidR="00780160" w:rsidRDefault="00780160" w:rsidP="00780160">
      <w:pPr>
        <w:spacing w:line="240" w:lineRule="auto"/>
        <w:rPr>
          <w:rFonts w:ascii="Arial" w:hAnsi="Arial" w:cs="Arial"/>
          <w:b/>
          <w:bCs/>
          <w:kern w:val="0"/>
          <w14:ligatures w14:val="none"/>
        </w:rPr>
      </w:pPr>
      <w:r w:rsidRPr="00780160">
        <w:rPr>
          <w:rFonts w:ascii="Arial" w:hAnsi="Arial" w:cs="Arial"/>
          <w:b/>
          <w:bCs/>
          <w:kern w:val="0"/>
          <w14:ligatures w14:val="none"/>
        </w:rPr>
        <w:t>Leeds</w:t>
      </w:r>
    </w:p>
    <w:p w14:paraId="268258CE" w14:textId="77777777" w:rsidR="00780160" w:rsidRDefault="00780160" w:rsidP="00780160">
      <w:pPr>
        <w:spacing w:line="240" w:lineRule="auto"/>
        <w:rPr>
          <w:rFonts w:ascii="Arial" w:hAnsi="Arial" w:cs="Arial"/>
          <w:b/>
          <w:bCs/>
          <w:kern w:val="0"/>
          <w14:ligatures w14:val="none"/>
        </w:rPr>
      </w:pPr>
      <w:r w:rsidRPr="00780160">
        <w:rPr>
          <w:rFonts w:ascii="Arial" w:hAnsi="Arial" w:cs="Arial"/>
          <w:b/>
          <w:bCs/>
          <w:kern w:val="0"/>
          <w14:ligatures w14:val="none"/>
        </w:rPr>
        <w:t>West Yorkshire</w:t>
      </w:r>
    </w:p>
    <w:p w14:paraId="02F39E2F" w14:textId="28DFFA18" w:rsidR="00543D1C" w:rsidRDefault="00780160" w:rsidP="00780160">
      <w:pPr>
        <w:spacing w:line="240" w:lineRule="auto"/>
        <w:rPr>
          <w:rFonts w:ascii="Arial" w:hAnsi="Arial" w:cs="Arial"/>
          <w:b/>
          <w:bCs/>
          <w:kern w:val="0"/>
          <w14:ligatures w14:val="none"/>
        </w:rPr>
      </w:pPr>
      <w:r w:rsidRPr="00780160">
        <w:rPr>
          <w:rFonts w:ascii="Arial" w:hAnsi="Arial" w:cs="Arial"/>
          <w:b/>
          <w:bCs/>
          <w:kern w:val="0"/>
          <w14:ligatures w14:val="none"/>
        </w:rPr>
        <w:t>LS2 9JT</w:t>
      </w:r>
    </w:p>
    <w:p w14:paraId="540B156F" w14:textId="77777777" w:rsidR="000D2071" w:rsidRPr="000D2071" w:rsidRDefault="000D2071" w:rsidP="002F396F">
      <w:pPr>
        <w:spacing w:after="0" w:line="240" w:lineRule="auto"/>
        <w:rPr>
          <w:rFonts w:ascii="Arial" w:hAnsi="Arial" w:cs="Arial"/>
          <w:b/>
          <w:bCs/>
          <w:kern w:val="0"/>
          <w14:ligatures w14:val="none"/>
        </w:rPr>
      </w:pPr>
    </w:p>
    <w:p w14:paraId="0505D820" w14:textId="435D11D6" w:rsidR="00E73FFC" w:rsidRDefault="002F396F" w:rsidP="009B0A07">
      <w:pPr>
        <w:spacing w:after="0" w:line="240" w:lineRule="auto"/>
        <w:rPr>
          <w:rFonts w:ascii="Arial" w:hAnsi="Arial" w:cs="Arial"/>
          <w:kern w:val="0"/>
          <w14:ligatures w14:val="none"/>
        </w:rPr>
      </w:pPr>
      <w:r w:rsidRPr="009B0A07">
        <w:rPr>
          <w:rFonts w:ascii="Arial" w:hAnsi="Arial" w:cs="Arial"/>
          <w:b/>
          <w:bCs/>
          <w:kern w:val="0"/>
          <w14:ligatures w14:val="none"/>
        </w:rPr>
        <w:t>By email only</w:t>
      </w:r>
      <w:r w:rsidRPr="006F6E00">
        <w:rPr>
          <w:rFonts w:ascii="Arial" w:hAnsi="Arial" w:cs="Arial"/>
          <w:kern w:val="0"/>
          <w14:ligatures w14:val="none"/>
        </w:rPr>
        <w:t xml:space="preserve">: </w:t>
      </w:r>
      <w:hyperlink r:id="rId8" w:tooltip="Email Deputy Vice-Chancellor" w:history="1">
        <w:r w:rsidR="009A29C9" w:rsidRPr="009A29C9">
          <w:rPr>
            <w:rStyle w:val="Hyperlink"/>
            <w:rFonts w:ascii="Arial" w:hAnsi="Arial" w:cs="Arial"/>
          </w:rPr>
          <w:t>vice-chancellor@leeds.ac.uk</w:t>
        </w:r>
      </w:hyperlink>
    </w:p>
    <w:p w14:paraId="6453D44D" w14:textId="6CAD6DC9" w:rsidR="00EC351F" w:rsidRPr="009A29C9" w:rsidRDefault="00EC351F" w:rsidP="009B0A07">
      <w:pPr>
        <w:spacing w:after="0" w:line="240" w:lineRule="auto"/>
        <w:rPr>
          <w:rFonts w:ascii="Arial" w:hAnsi="Arial" w:cs="Arial"/>
          <w:kern w:val="0"/>
          <w14:ligatures w14:val="none"/>
        </w:rPr>
      </w:pPr>
      <w:r>
        <w:rPr>
          <w:rFonts w:ascii="Arial" w:hAnsi="Arial" w:cs="Arial"/>
          <w:kern w:val="0"/>
          <w14:ligatures w14:val="none"/>
        </w:rPr>
        <w:tab/>
      </w:r>
      <w:r>
        <w:rPr>
          <w:rFonts w:ascii="Arial" w:hAnsi="Arial" w:cs="Arial"/>
          <w:kern w:val="0"/>
          <w14:ligatures w14:val="none"/>
        </w:rPr>
        <w:tab/>
      </w:r>
      <w:hyperlink r:id="rId9" w:history="1">
        <w:r w:rsidR="009A29C9" w:rsidRPr="009A29C9">
          <w:rPr>
            <w:rStyle w:val="Hyperlink"/>
            <w:rFonts w:ascii="Arial" w:hAnsi="Arial" w:cs="Arial"/>
          </w:rPr>
          <w:t>J.E.Madeley@adm.leeds.ac.uk</w:t>
        </w:r>
      </w:hyperlink>
    </w:p>
    <w:p w14:paraId="6E0F71A7" w14:textId="22844213" w:rsidR="006F6E00" w:rsidRPr="006F6E00" w:rsidRDefault="00E17D1A" w:rsidP="00733455">
      <w:pPr>
        <w:spacing w:after="0" w:line="240" w:lineRule="auto"/>
        <w:rPr>
          <w:rFonts w:ascii="Arial" w:hAnsi="Arial" w:cs="Arial"/>
        </w:rPr>
      </w:pPr>
      <w:r>
        <w:rPr>
          <w:rFonts w:ascii="Arial" w:hAnsi="Arial" w:cs="Arial"/>
          <w:kern w:val="0"/>
          <w14:ligatures w14:val="none"/>
        </w:rPr>
        <w:tab/>
      </w:r>
      <w:r>
        <w:rPr>
          <w:rFonts w:ascii="Arial" w:hAnsi="Arial" w:cs="Arial"/>
          <w:kern w:val="0"/>
          <w14:ligatures w14:val="none"/>
        </w:rPr>
        <w:tab/>
      </w:r>
      <w:r w:rsidR="006F6E00">
        <w:rPr>
          <w:rFonts w:ascii="Arial" w:hAnsi="Arial" w:cs="Arial"/>
          <w:kern w:val="0"/>
          <w14:ligatures w14:val="none"/>
        </w:rPr>
        <w:t xml:space="preserve"> </w:t>
      </w:r>
    </w:p>
    <w:bookmarkEnd w:id="0"/>
    <w:p w14:paraId="3FA7251A" w14:textId="77777777" w:rsidR="007E245C" w:rsidRPr="00172570" w:rsidRDefault="007E245C" w:rsidP="007E245C">
      <w:pPr>
        <w:jc w:val="right"/>
      </w:pPr>
    </w:p>
    <w:p w14:paraId="296DA046" w14:textId="15241D0C" w:rsidR="007E245C" w:rsidRPr="00172570" w:rsidRDefault="00475F43" w:rsidP="00475F43">
      <w:pPr>
        <w:jc w:val="center"/>
        <w:rPr>
          <w:rFonts w:ascii="Arial" w:hAnsi="Arial" w:cs="Arial"/>
        </w:rPr>
      </w:pPr>
      <w:r w:rsidRPr="00172570">
        <w:rPr>
          <w:rFonts w:ascii="Arial" w:hAnsi="Arial" w:cs="Arial"/>
        </w:rPr>
        <w:t xml:space="preserve">                                                             </w:t>
      </w:r>
      <w:r w:rsidR="002148B9" w:rsidRPr="00172570">
        <w:rPr>
          <w:rFonts w:ascii="Arial" w:hAnsi="Arial" w:cs="Arial"/>
        </w:rPr>
        <w:t xml:space="preserve">       </w:t>
      </w:r>
      <w:r w:rsidR="005A5F0C" w:rsidRPr="00172570">
        <w:rPr>
          <w:rFonts w:ascii="Arial" w:hAnsi="Arial" w:cs="Arial"/>
        </w:rPr>
        <w:t xml:space="preserve">     </w:t>
      </w:r>
      <w:r w:rsidRPr="00172570">
        <w:rPr>
          <w:rFonts w:ascii="Arial" w:hAnsi="Arial" w:cs="Arial"/>
        </w:rPr>
        <w:t xml:space="preserve">   </w:t>
      </w:r>
      <w:r w:rsidR="00C97AB6" w:rsidRPr="002F6D43">
        <w:rPr>
          <w:rFonts w:ascii="Arial" w:hAnsi="Arial" w:cs="Arial"/>
          <w:highlight w:val="yellow"/>
        </w:rPr>
        <w:t>[</w:t>
      </w:r>
      <w:r w:rsidR="007E245C" w:rsidRPr="002F6D43">
        <w:rPr>
          <w:rFonts w:ascii="Arial" w:hAnsi="Arial" w:cs="Arial"/>
          <w:highlight w:val="yellow"/>
        </w:rPr>
        <w:t>DATE</w:t>
      </w:r>
      <w:r w:rsidR="00C97AB6" w:rsidRPr="002F6D43">
        <w:rPr>
          <w:rFonts w:ascii="Arial" w:hAnsi="Arial" w:cs="Arial"/>
          <w:highlight w:val="yellow"/>
        </w:rPr>
        <w:t>]</w:t>
      </w:r>
    </w:p>
    <w:p w14:paraId="74C5FD05" w14:textId="067FB134" w:rsidR="007E245C" w:rsidRPr="00172570" w:rsidRDefault="007E245C">
      <w:pPr>
        <w:rPr>
          <w:rFonts w:ascii="Arial" w:hAnsi="Arial" w:cs="Arial"/>
        </w:rPr>
      </w:pPr>
      <w:r w:rsidRPr="00172570">
        <w:rPr>
          <w:rFonts w:ascii="Arial" w:hAnsi="Arial" w:cs="Arial"/>
        </w:rPr>
        <w:t xml:space="preserve">Dear </w:t>
      </w:r>
      <w:r w:rsidR="00414774">
        <w:rPr>
          <w:rFonts w:ascii="Arial" w:hAnsi="Arial" w:cs="Arial"/>
        </w:rPr>
        <w:t>Professor</w:t>
      </w:r>
      <w:r w:rsidR="000B7F82">
        <w:rPr>
          <w:rFonts w:ascii="Arial" w:hAnsi="Arial" w:cs="Arial"/>
        </w:rPr>
        <w:t xml:space="preserve"> Yu</w:t>
      </w:r>
      <w:r w:rsidR="002572C5">
        <w:rPr>
          <w:rFonts w:ascii="Arial" w:hAnsi="Arial" w:cs="Arial"/>
        </w:rPr>
        <w:t>,</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3A0AA75" w:rsidR="004D594B" w:rsidRDefault="006F7358" w:rsidP="006C59BB">
      <w:pPr>
        <w:jc w:val="both"/>
        <w:rPr>
          <w:rFonts w:ascii="Arial" w:hAnsi="Arial" w:cs="Arial"/>
        </w:rPr>
      </w:pPr>
      <w:r w:rsidRPr="00172570">
        <w:rPr>
          <w:rFonts w:ascii="Arial" w:hAnsi="Arial" w:cs="Arial"/>
        </w:rPr>
        <w:t xml:space="preserve">I, </w:t>
      </w:r>
      <w:r w:rsidRPr="002F6D43">
        <w:rPr>
          <w:rFonts w:ascii="Arial" w:hAnsi="Arial" w:cs="Arial"/>
          <w:highlight w:val="yellow"/>
        </w:rPr>
        <w:t>(full name),</w:t>
      </w:r>
      <w:r w:rsidRPr="00172570">
        <w:rPr>
          <w:rFonts w:ascii="Arial" w:hAnsi="Arial" w:cs="Arial"/>
        </w:rPr>
        <w:t xml:space="preserve"> hereby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1"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bookmarkEnd w:id="1"/>
    <w:p w14:paraId="3D1C73E6" w14:textId="77777777" w:rsidR="00F35FD9" w:rsidRDefault="003F7354" w:rsidP="0061074A">
      <w:pPr>
        <w:jc w:val="both"/>
        <w:rPr>
          <w:rFonts w:ascii="Arial" w:hAnsi="Arial" w:cs="Arial"/>
        </w:rPr>
      </w:pPr>
      <w:r>
        <w:rPr>
          <w:rFonts w:ascii="Arial" w:hAnsi="Arial" w:cs="Arial"/>
        </w:rPr>
        <w:t>The Universit</w:t>
      </w:r>
      <w:r w:rsidR="00F52111">
        <w:rPr>
          <w:rFonts w:ascii="Arial" w:hAnsi="Arial" w:cs="Arial"/>
        </w:rPr>
        <w:t xml:space="preserve">y’s </w:t>
      </w:r>
      <w:r w:rsidR="005114FF" w:rsidRPr="005114FF">
        <w:rPr>
          <w:rFonts w:ascii="Arial" w:hAnsi="Arial" w:cs="Arial"/>
        </w:rPr>
        <w:t xml:space="preserve">Policy </w:t>
      </w:r>
      <w:r w:rsidR="00D836DF">
        <w:rPr>
          <w:rFonts w:ascii="Arial" w:hAnsi="Arial" w:cs="Arial"/>
        </w:rPr>
        <w:t>on</w:t>
      </w:r>
      <w:r w:rsidR="005114FF" w:rsidRPr="005114FF">
        <w:rPr>
          <w:rFonts w:ascii="Arial" w:hAnsi="Arial" w:cs="Arial"/>
        </w:rPr>
        <w:t xml:space="preserve"> Responsible Investment</w:t>
      </w:r>
      <w:r w:rsidR="00F52111">
        <w:rPr>
          <w:rStyle w:val="FootnoteReference"/>
          <w:rFonts w:ascii="Arial" w:hAnsi="Arial" w:cs="Arial"/>
        </w:rPr>
        <w:footnoteReference w:id="2"/>
      </w:r>
      <w:r w:rsidR="00F52111">
        <w:rPr>
          <w:rFonts w:ascii="Arial" w:hAnsi="Arial" w:cs="Arial"/>
        </w:rPr>
        <w:t xml:space="preserve"> </w:t>
      </w:r>
      <w:r>
        <w:rPr>
          <w:rFonts w:ascii="Arial" w:hAnsi="Arial" w:cs="Arial"/>
        </w:rPr>
        <w:t xml:space="preserve">states: </w:t>
      </w:r>
    </w:p>
    <w:p w14:paraId="4C39A253" w14:textId="61516575" w:rsidR="00F836EE" w:rsidRDefault="00F35FD9" w:rsidP="00F836EE">
      <w:pPr>
        <w:ind w:left="720"/>
        <w:jc w:val="both"/>
        <w:rPr>
          <w:rFonts w:ascii="Arial" w:hAnsi="Arial" w:cs="Arial"/>
          <w:i/>
          <w:iCs/>
        </w:rPr>
      </w:pPr>
      <w:r>
        <w:rPr>
          <w:rFonts w:ascii="Arial" w:hAnsi="Arial" w:cs="Arial"/>
          <w:i/>
          <w:iCs/>
        </w:rPr>
        <w:t>“</w:t>
      </w:r>
      <w:r w:rsidR="0061074A" w:rsidRPr="0061074A">
        <w:rPr>
          <w:rFonts w:ascii="Arial" w:hAnsi="Arial" w:cs="Arial"/>
          <w:i/>
          <w:iCs/>
        </w:rPr>
        <w:t xml:space="preserve">The investment managers have responsibility for stock selection of the Funds but are guided by the University’s Policy on Responsible Investment (RI) and the Tomorrows World (TW) investment approach adopted by the University. Specific exclusions are shown in Appendix A. Our funds are invested in purposeful institutions which aim to solve people and the planet’s problems profitably, without benefiting from causing harm to the world. </w:t>
      </w:r>
      <w:r w:rsidR="00E91573" w:rsidRPr="00A7307B">
        <w:rPr>
          <w:rFonts w:ascii="Arial" w:hAnsi="Arial" w:cs="Arial"/>
          <w:i/>
          <w:iCs/>
        </w:rPr>
        <w:t xml:space="preserve">In other situations, where a company in which the University currently </w:t>
      </w:r>
      <w:r w:rsidR="00E91573" w:rsidRPr="00A7307B">
        <w:rPr>
          <w:rFonts w:ascii="Arial" w:hAnsi="Arial" w:cs="Arial"/>
          <w:i/>
          <w:iCs/>
        </w:rPr>
        <w:lastRenderedPageBreak/>
        <w:t>holds shares does not respond positively to concerns about its practices and is deemed to be in fundamental breach of acceptable standards of ethical and/or environmental practice, where directly practical, the University will instruct its Investment Manager to divest of shares in that Company and require the Investment Manager to inform the Company of its reasons for doing so. The University may implement this by selecting pooled funds with policies on engagement and stock selection that are aligned to the University’s objectives and beliefs.</w:t>
      </w:r>
      <w:r>
        <w:rPr>
          <w:rFonts w:ascii="Arial" w:hAnsi="Arial" w:cs="Arial"/>
          <w:i/>
          <w:iCs/>
        </w:rPr>
        <w:t>”</w:t>
      </w:r>
    </w:p>
    <w:p w14:paraId="45DEE880" w14:textId="77777777" w:rsidR="006E748E" w:rsidRDefault="006E748E" w:rsidP="006E748E">
      <w:pPr>
        <w:jc w:val="both"/>
        <w:rPr>
          <w:rFonts w:ascii="Arial" w:hAnsi="Arial" w:cs="Arial"/>
          <w:i/>
          <w:iCs/>
        </w:rPr>
      </w:pPr>
    </w:p>
    <w:p w14:paraId="73A87740" w14:textId="4291F6AA" w:rsidR="006E748E" w:rsidRPr="006E748E" w:rsidRDefault="006E748E" w:rsidP="006E748E">
      <w:pPr>
        <w:jc w:val="both"/>
        <w:rPr>
          <w:rFonts w:ascii="Arial" w:hAnsi="Arial" w:cs="Arial"/>
        </w:rPr>
      </w:pPr>
      <w:r>
        <w:rPr>
          <w:rFonts w:ascii="Arial" w:hAnsi="Arial" w:cs="Arial"/>
        </w:rPr>
        <w:t xml:space="preserve">The Policy subsequently goes on to list the exclusions </w:t>
      </w:r>
      <w:r w:rsidR="00C34BC6">
        <w:rPr>
          <w:rFonts w:ascii="Arial" w:hAnsi="Arial" w:cs="Arial"/>
        </w:rPr>
        <w:t xml:space="preserve">under </w:t>
      </w:r>
      <w:r w:rsidR="00C34BC6" w:rsidRPr="00C34BC6">
        <w:rPr>
          <w:rFonts w:ascii="Arial" w:hAnsi="Arial" w:cs="Arial"/>
          <w:b/>
          <w:bCs/>
          <w:i/>
          <w:iCs/>
        </w:rPr>
        <w:t>“Appendix 1”</w:t>
      </w:r>
      <w:r w:rsidR="00C34BC6">
        <w:rPr>
          <w:rFonts w:ascii="Arial" w:hAnsi="Arial" w:cs="Arial"/>
        </w:rPr>
        <w:t>:</w:t>
      </w:r>
    </w:p>
    <w:p w14:paraId="05AD70B8" w14:textId="77777777" w:rsidR="00E2381B" w:rsidRPr="00F35FD9" w:rsidRDefault="00E2381B" w:rsidP="00E2381B">
      <w:pPr>
        <w:jc w:val="both"/>
        <w:rPr>
          <w:rFonts w:ascii="Arial" w:hAnsi="Arial" w:cs="Arial"/>
        </w:rPr>
      </w:pPr>
    </w:p>
    <w:p w14:paraId="13949DE7" w14:textId="0AE59941" w:rsidR="00B51823" w:rsidRPr="007F02AA" w:rsidRDefault="00B51823" w:rsidP="00285B61">
      <w:pPr>
        <w:jc w:val="both"/>
        <w:rPr>
          <w:rFonts w:ascii="Arial" w:hAnsi="Arial" w:cs="Arial"/>
          <w:b/>
          <w:bCs/>
          <w:i/>
          <w:iCs/>
        </w:rPr>
      </w:pPr>
      <w:r w:rsidRPr="007F02AA">
        <w:rPr>
          <w:rFonts w:ascii="Arial" w:hAnsi="Arial" w:cs="Arial"/>
          <w:b/>
          <w:bCs/>
          <w:i/>
          <w:iCs/>
        </w:rPr>
        <w:t>Appendix 1 - Exclusions under the Tomorrows World</w:t>
      </w:r>
    </w:p>
    <w:p w14:paraId="3354B660" w14:textId="3DF5C360" w:rsidR="00B51823" w:rsidRDefault="00C77D4D" w:rsidP="00285B61">
      <w:pPr>
        <w:jc w:val="both"/>
        <w:rPr>
          <w:rFonts w:ascii="Arial" w:hAnsi="Arial" w:cs="Arial"/>
          <w:i/>
          <w:iCs/>
        </w:rPr>
      </w:pPr>
      <w:r w:rsidRPr="00C77D4D">
        <w:rPr>
          <w:rFonts w:ascii="Arial" w:hAnsi="Arial" w:cs="Arial"/>
          <w:i/>
          <w:iCs/>
        </w:rPr>
        <w:t xml:space="preserve">The investment portfolio is currently being managed with adherence to the RI policy, the TW approach and with reference to the following specific ESG constraints. </w:t>
      </w:r>
    </w:p>
    <w:p w14:paraId="1DBEAE79" w14:textId="4B70B88F" w:rsidR="00A30E55" w:rsidRDefault="00A30E55" w:rsidP="00285B61">
      <w:pPr>
        <w:jc w:val="both"/>
        <w:rPr>
          <w:rFonts w:ascii="Arial" w:hAnsi="Arial" w:cs="Arial"/>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F02AA" w14:paraId="21142789" w14:textId="77777777" w:rsidTr="007F02AA">
        <w:tc>
          <w:tcPr>
            <w:tcW w:w="4508" w:type="dxa"/>
          </w:tcPr>
          <w:p w14:paraId="11A2F910" w14:textId="5C8BC6F8" w:rsidR="007F02AA" w:rsidRPr="007F02AA" w:rsidRDefault="007F02AA" w:rsidP="00285B61">
            <w:pPr>
              <w:jc w:val="both"/>
              <w:rPr>
                <w:rFonts w:ascii="Arial" w:hAnsi="Arial" w:cs="Arial"/>
                <w:i/>
                <w:iCs/>
              </w:rPr>
            </w:pPr>
            <w:r>
              <w:rPr>
                <w:rFonts w:ascii="Arial" w:hAnsi="Arial" w:cs="Arial"/>
                <w:i/>
                <w:iCs/>
              </w:rPr>
              <w:t>Hard Coded Exclusions in Tomorrow’s World</w:t>
            </w:r>
          </w:p>
        </w:tc>
        <w:tc>
          <w:tcPr>
            <w:tcW w:w="4508" w:type="dxa"/>
          </w:tcPr>
          <w:p w14:paraId="24E9C71C" w14:textId="77777777" w:rsidR="007F02AA" w:rsidRDefault="007F02AA" w:rsidP="007F02AA">
            <w:pPr>
              <w:jc w:val="both"/>
              <w:rPr>
                <w:rFonts w:ascii="Arial" w:hAnsi="Arial" w:cs="Arial"/>
                <w:i/>
                <w:iCs/>
              </w:rPr>
            </w:pPr>
            <w:r>
              <w:rPr>
                <w:rFonts w:ascii="Arial" w:hAnsi="Arial" w:cs="Arial"/>
                <w:i/>
                <w:iCs/>
              </w:rPr>
              <w:t>Strategy</w:t>
            </w:r>
          </w:p>
          <w:p w14:paraId="34399BA0" w14:textId="1ADCD526" w:rsidR="007F02AA" w:rsidRPr="007F02AA" w:rsidRDefault="007F02AA" w:rsidP="007F02AA">
            <w:pPr>
              <w:jc w:val="both"/>
              <w:rPr>
                <w:rFonts w:ascii="Arial" w:hAnsi="Arial" w:cs="Arial"/>
                <w:i/>
                <w:iCs/>
              </w:rPr>
            </w:pPr>
          </w:p>
        </w:tc>
      </w:tr>
      <w:tr w:rsidR="007F02AA" w14:paraId="0AC1B762" w14:textId="77777777" w:rsidTr="007F02AA">
        <w:tc>
          <w:tcPr>
            <w:tcW w:w="4508" w:type="dxa"/>
          </w:tcPr>
          <w:p w14:paraId="73FE444A" w14:textId="6CFF0F09" w:rsidR="007F02AA" w:rsidRDefault="007F02AA" w:rsidP="00285B61">
            <w:pPr>
              <w:jc w:val="both"/>
              <w:rPr>
                <w:rFonts w:ascii="Arial" w:hAnsi="Arial" w:cs="Arial"/>
                <w:i/>
                <w:iCs/>
              </w:rPr>
            </w:pPr>
            <w:r w:rsidRPr="007F02AA">
              <w:rPr>
                <w:rFonts w:ascii="Arial" w:hAnsi="Arial" w:cs="Arial"/>
                <w:i/>
                <w:iCs/>
              </w:rPr>
              <w:t>Nuclear weapons</w:t>
            </w:r>
          </w:p>
        </w:tc>
        <w:tc>
          <w:tcPr>
            <w:tcW w:w="4508" w:type="dxa"/>
          </w:tcPr>
          <w:p w14:paraId="4A158431" w14:textId="77777777" w:rsidR="007F02AA" w:rsidRPr="007F02AA" w:rsidRDefault="007F02AA" w:rsidP="007F02AA">
            <w:pPr>
              <w:jc w:val="both"/>
              <w:rPr>
                <w:rFonts w:ascii="Arial" w:hAnsi="Arial" w:cs="Arial"/>
                <w:i/>
                <w:iCs/>
              </w:rPr>
            </w:pPr>
            <w:r w:rsidRPr="007F02AA">
              <w:rPr>
                <w:rFonts w:ascii="Arial" w:hAnsi="Arial" w:cs="Arial"/>
                <w:i/>
                <w:iCs/>
              </w:rPr>
              <w:t xml:space="preserve">No investment in companies that derive revenues from nuclear weapons </w:t>
            </w:r>
          </w:p>
          <w:p w14:paraId="7C8EBBA6" w14:textId="77777777" w:rsidR="007F02AA" w:rsidRDefault="007F02AA" w:rsidP="00285B61">
            <w:pPr>
              <w:jc w:val="both"/>
              <w:rPr>
                <w:rFonts w:ascii="Arial" w:hAnsi="Arial" w:cs="Arial"/>
                <w:i/>
                <w:iCs/>
              </w:rPr>
            </w:pPr>
          </w:p>
        </w:tc>
      </w:tr>
      <w:tr w:rsidR="007F02AA" w14:paraId="5E8361BD" w14:textId="77777777" w:rsidTr="007F02AA">
        <w:tc>
          <w:tcPr>
            <w:tcW w:w="4508" w:type="dxa"/>
          </w:tcPr>
          <w:p w14:paraId="44A4E99E" w14:textId="1ABA2091" w:rsidR="007F02AA" w:rsidRDefault="007F02AA" w:rsidP="00285B61">
            <w:pPr>
              <w:jc w:val="both"/>
              <w:rPr>
                <w:rFonts w:ascii="Arial" w:hAnsi="Arial" w:cs="Arial"/>
                <w:i/>
                <w:iCs/>
              </w:rPr>
            </w:pPr>
            <w:r w:rsidRPr="007F02AA">
              <w:rPr>
                <w:rFonts w:ascii="Arial" w:hAnsi="Arial" w:cs="Arial"/>
                <w:i/>
                <w:iCs/>
              </w:rPr>
              <w:t>Civilian firearms</w:t>
            </w:r>
          </w:p>
        </w:tc>
        <w:tc>
          <w:tcPr>
            <w:tcW w:w="4508" w:type="dxa"/>
          </w:tcPr>
          <w:p w14:paraId="48164DD4" w14:textId="77777777" w:rsidR="007F02AA" w:rsidRDefault="007F02AA" w:rsidP="00285B61">
            <w:pPr>
              <w:jc w:val="both"/>
              <w:rPr>
                <w:rFonts w:ascii="Arial" w:hAnsi="Arial" w:cs="Arial"/>
                <w:i/>
                <w:iCs/>
              </w:rPr>
            </w:pPr>
            <w:r w:rsidRPr="007F02AA">
              <w:rPr>
                <w:rFonts w:ascii="Arial" w:hAnsi="Arial" w:cs="Arial"/>
                <w:i/>
                <w:iCs/>
              </w:rPr>
              <w:t>No investment in companies that derive revenues from civilian firearms including production and retail</w:t>
            </w:r>
          </w:p>
          <w:p w14:paraId="05A32306" w14:textId="754DE34F" w:rsidR="00F836EE" w:rsidRDefault="00F836EE" w:rsidP="00285B61">
            <w:pPr>
              <w:jc w:val="both"/>
              <w:rPr>
                <w:rFonts w:ascii="Arial" w:hAnsi="Arial" w:cs="Arial"/>
                <w:i/>
                <w:iCs/>
              </w:rPr>
            </w:pPr>
          </w:p>
        </w:tc>
      </w:tr>
      <w:tr w:rsidR="007F02AA" w14:paraId="10307D31" w14:textId="77777777" w:rsidTr="007F02AA">
        <w:tc>
          <w:tcPr>
            <w:tcW w:w="4508" w:type="dxa"/>
          </w:tcPr>
          <w:p w14:paraId="71497137" w14:textId="704DABB4" w:rsidR="007F02AA" w:rsidRDefault="007F02AA" w:rsidP="00285B61">
            <w:pPr>
              <w:jc w:val="both"/>
              <w:rPr>
                <w:rFonts w:ascii="Arial" w:hAnsi="Arial" w:cs="Arial"/>
                <w:i/>
                <w:iCs/>
              </w:rPr>
            </w:pPr>
            <w:r w:rsidRPr="007F02AA">
              <w:rPr>
                <w:rFonts w:ascii="Arial" w:hAnsi="Arial" w:cs="Arial"/>
                <w:i/>
                <w:iCs/>
              </w:rPr>
              <w:t>Armaments</w:t>
            </w:r>
          </w:p>
        </w:tc>
        <w:tc>
          <w:tcPr>
            <w:tcW w:w="4508" w:type="dxa"/>
          </w:tcPr>
          <w:p w14:paraId="3E978A77" w14:textId="77777777" w:rsidR="007F02AA" w:rsidRPr="007F02AA" w:rsidRDefault="007F02AA" w:rsidP="007F02AA">
            <w:pPr>
              <w:jc w:val="both"/>
              <w:rPr>
                <w:rFonts w:ascii="Arial" w:hAnsi="Arial" w:cs="Arial"/>
                <w:i/>
                <w:iCs/>
              </w:rPr>
            </w:pPr>
            <w:r w:rsidRPr="007F02AA">
              <w:rPr>
                <w:rFonts w:ascii="Arial" w:hAnsi="Arial" w:cs="Arial"/>
                <w:i/>
                <w:iCs/>
              </w:rPr>
              <w:t>No investment in companies that derive more revenues from the manufacture of whole weapon systems and no investment in companies that derive more than 10% of their turnover from armaments including components and services</w:t>
            </w:r>
          </w:p>
          <w:p w14:paraId="298937DA" w14:textId="77777777" w:rsidR="007F02AA" w:rsidRDefault="007F02AA" w:rsidP="00285B61">
            <w:pPr>
              <w:jc w:val="both"/>
              <w:rPr>
                <w:rFonts w:ascii="Arial" w:hAnsi="Arial" w:cs="Arial"/>
                <w:i/>
                <w:iCs/>
              </w:rPr>
            </w:pPr>
          </w:p>
        </w:tc>
      </w:tr>
    </w:tbl>
    <w:p w14:paraId="54623829" w14:textId="77777777" w:rsidR="007F02AA" w:rsidRDefault="007F02AA" w:rsidP="00285B61">
      <w:pPr>
        <w:jc w:val="both"/>
        <w:rPr>
          <w:rFonts w:ascii="Arial" w:hAnsi="Arial" w:cs="Arial"/>
          <w:i/>
          <w:iCs/>
        </w:rPr>
      </w:pPr>
    </w:p>
    <w:p w14:paraId="593A9ED4" w14:textId="0C7609C6" w:rsidR="003F7354" w:rsidRPr="00285B61" w:rsidRDefault="00353A73" w:rsidP="00285B61">
      <w:pPr>
        <w:jc w:val="both"/>
        <w:rPr>
          <w:rFonts w:ascii="Arial" w:hAnsi="Arial" w:cs="Arial"/>
          <w:i/>
          <w:iCs/>
        </w:rPr>
      </w:pPr>
      <w:r w:rsidRPr="00285B61">
        <w:rPr>
          <w:rFonts w:ascii="Arial" w:hAnsi="Arial" w:cs="Arial"/>
        </w:rPr>
        <w:t>However,</w:t>
      </w:r>
      <w:r w:rsidR="00194400" w:rsidRPr="00285B61">
        <w:rPr>
          <w:rFonts w:ascii="Arial" w:hAnsi="Arial" w:cs="Arial"/>
        </w:rPr>
        <w:t xml:space="preserve"> despite the clear </w:t>
      </w:r>
      <w:r w:rsidR="00365FC7">
        <w:rPr>
          <w:rFonts w:ascii="Arial" w:hAnsi="Arial" w:cs="Arial"/>
        </w:rPr>
        <w:t>responsible</w:t>
      </w:r>
      <w:r w:rsidR="00194400" w:rsidRPr="00285B61">
        <w:rPr>
          <w:rFonts w:ascii="Arial" w:hAnsi="Arial" w:cs="Arial"/>
        </w:rPr>
        <w:t xml:space="preserve"> investment policy,</w:t>
      </w:r>
      <w:r w:rsidRPr="00285B61">
        <w:rPr>
          <w:rFonts w:ascii="Arial" w:hAnsi="Arial" w:cs="Arial"/>
        </w:rPr>
        <w:t xml:space="preserve"> the University </w:t>
      </w:r>
      <w:r w:rsidR="001A3D44" w:rsidRPr="00285B61">
        <w:rPr>
          <w:rFonts w:ascii="Arial" w:hAnsi="Arial" w:cs="Arial"/>
        </w:rPr>
        <w:t>has invested</w:t>
      </w:r>
      <w:r w:rsidR="009C1E81" w:rsidRPr="00285B61">
        <w:rPr>
          <w:rFonts w:ascii="Arial" w:hAnsi="Arial" w:cs="Arial"/>
        </w:rPr>
        <w:t xml:space="preserve"> £</w:t>
      </w:r>
      <w:r w:rsidR="006A4AA7">
        <w:rPr>
          <w:rFonts w:ascii="Arial" w:hAnsi="Arial" w:cs="Arial"/>
        </w:rPr>
        <w:t>601,751</w:t>
      </w:r>
      <w:r w:rsidR="007B3073" w:rsidRPr="00285B61">
        <w:rPr>
          <w:rFonts w:ascii="Arial" w:hAnsi="Arial" w:cs="Arial"/>
        </w:rPr>
        <w:t xml:space="preserve"> </w:t>
      </w:r>
      <w:r w:rsidR="009C1E81" w:rsidRPr="00285B61">
        <w:rPr>
          <w:rFonts w:ascii="Arial" w:hAnsi="Arial" w:cs="Arial"/>
        </w:rPr>
        <w:t xml:space="preserve">in </w:t>
      </w:r>
      <w:proofErr w:type="spellStart"/>
      <w:r w:rsidR="00D8127B">
        <w:rPr>
          <w:rFonts w:ascii="Arial" w:hAnsi="Arial" w:cs="Arial"/>
        </w:rPr>
        <w:t>AirBnB</w:t>
      </w:r>
      <w:proofErr w:type="spellEnd"/>
      <w:r w:rsidR="007E47EE">
        <w:rPr>
          <w:rFonts w:ascii="Arial" w:hAnsi="Arial" w:cs="Arial"/>
        </w:rPr>
        <w:t xml:space="preserve">, Alstom, Booking.com, Cisco Systems, </w:t>
      </w:r>
      <w:proofErr w:type="spellStart"/>
      <w:r w:rsidR="007E47EE">
        <w:rPr>
          <w:rFonts w:ascii="Arial" w:hAnsi="Arial" w:cs="Arial"/>
        </w:rPr>
        <w:t>Delek</w:t>
      </w:r>
      <w:proofErr w:type="spellEnd"/>
      <w:r w:rsidR="007E47EE">
        <w:rPr>
          <w:rFonts w:ascii="Arial" w:hAnsi="Arial" w:cs="Arial"/>
        </w:rPr>
        <w:t>, Expedia, HSBC, Siemens and TripAdvisor.</w:t>
      </w:r>
      <w:r w:rsidR="00F41015" w:rsidRPr="00285B61">
        <w:rPr>
          <w:rFonts w:ascii="Arial" w:hAnsi="Arial" w:cs="Arial"/>
        </w:rPr>
        <w:t xml:space="preserve"> </w:t>
      </w:r>
      <w:r w:rsidR="009C1E81" w:rsidRPr="00285B61">
        <w:rPr>
          <w:rFonts w:ascii="Arial" w:hAnsi="Arial" w:cs="Arial"/>
        </w:rPr>
        <w:t>These corporations</w:t>
      </w:r>
      <w:r w:rsidR="001A3D44" w:rsidRPr="00285B61">
        <w:rPr>
          <w:rFonts w:ascii="Arial" w:hAnsi="Arial" w:cs="Arial"/>
        </w:rPr>
        <w:t xml:space="preserve"> either invest</w:t>
      </w:r>
      <w:r w:rsidR="00B06FCE" w:rsidRPr="00285B61">
        <w:rPr>
          <w:rFonts w:ascii="Arial" w:hAnsi="Arial" w:cs="Arial"/>
        </w:rPr>
        <w:t>s</w:t>
      </w:r>
      <w:r w:rsidR="001A3D44" w:rsidRPr="00285B61">
        <w:rPr>
          <w:rFonts w:ascii="Arial" w:hAnsi="Arial" w:cs="Arial"/>
        </w:rPr>
        <w:t xml:space="preserve"> </w:t>
      </w:r>
      <w:r w:rsidR="00451A7A" w:rsidRPr="00285B61">
        <w:rPr>
          <w:rFonts w:ascii="Arial" w:hAnsi="Arial" w:cs="Arial"/>
        </w:rPr>
        <w:t xml:space="preserve">directly </w:t>
      </w:r>
      <w:r w:rsidR="001A3D44" w:rsidRPr="00285B61">
        <w:rPr>
          <w:rFonts w:ascii="Arial" w:hAnsi="Arial" w:cs="Arial"/>
        </w:rPr>
        <w:t>into Israeli war crimes</w:t>
      </w:r>
      <w:r w:rsidR="007E47EE">
        <w:rPr>
          <w:rFonts w:ascii="Arial" w:hAnsi="Arial" w:cs="Arial"/>
        </w:rPr>
        <w:t xml:space="preserve"> </w:t>
      </w:r>
      <w:r w:rsidR="001A3D44" w:rsidRPr="00285B61">
        <w:rPr>
          <w:rFonts w:ascii="Arial" w:hAnsi="Arial" w:cs="Arial"/>
        </w:rPr>
        <w:t xml:space="preserve">or </w:t>
      </w:r>
      <w:r w:rsidR="00BA028E" w:rsidRPr="00285B61">
        <w:rPr>
          <w:rFonts w:ascii="Arial" w:hAnsi="Arial" w:cs="Arial"/>
        </w:rPr>
        <w:t>they</w:t>
      </w:r>
      <w:r w:rsidR="00451A7A" w:rsidRPr="00285B61">
        <w:rPr>
          <w:rFonts w:ascii="Arial" w:hAnsi="Arial" w:cs="Arial"/>
        </w:rPr>
        <w:t xml:space="preserve"> invest</w:t>
      </w:r>
      <w:r w:rsidR="00BE3299">
        <w:rPr>
          <w:rFonts w:ascii="Arial" w:hAnsi="Arial" w:cs="Arial"/>
        </w:rPr>
        <w:t>s</w:t>
      </w:r>
      <w:r w:rsidR="00451A7A" w:rsidRPr="00285B61">
        <w:rPr>
          <w:rFonts w:ascii="Arial" w:hAnsi="Arial" w:cs="Arial"/>
        </w:rPr>
        <w:t xml:space="preserve"> in settlements</w:t>
      </w:r>
      <w:r w:rsidR="00194400" w:rsidRPr="00285B61">
        <w:rPr>
          <w:rFonts w:ascii="Arial" w:hAnsi="Arial" w:cs="Arial"/>
        </w:rPr>
        <w:t xml:space="preserve"> </w:t>
      </w:r>
      <w:bookmarkStart w:id="2" w:name="_Hlk175506274"/>
      <w:r w:rsidR="00194400" w:rsidRPr="00285B61">
        <w:rPr>
          <w:rFonts w:ascii="Arial" w:hAnsi="Arial" w:cs="Arial"/>
        </w:rPr>
        <w:t xml:space="preserve">and/or </w:t>
      </w:r>
      <w:r w:rsidR="00451A7A" w:rsidRPr="00285B61">
        <w:rPr>
          <w:rFonts w:ascii="Arial" w:hAnsi="Arial" w:cs="Arial"/>
        </w:rPr>
        <w:t>maintai</w:t>
      </w:r>
      <w:r w:rsidR="00194400" w:rsidRPr="00285B61">
        <w:rPr>
          <w:rFonts w:ascii="Arial" w:hAnsi="Arial" w:cs="Arial"/>
        </w:rPr>
        <w:t>ns</w:t>
      </w:r>
      <w:r w:rsidR="00451A7A" w:rsidRPr="00285B61">
        <w:rPr>
          <w:rFonts w:ascii="Arial" w:hAnsi="Arial" w:cs="Arial"/>
        </w:rPr>
        <w:t xml:space="preserve"> the </w:t>
      </w:r>
      <w:r w:rsidR="00194400" w:rsidRPr="00285B61">
        <w:rPr>
          <w:rFonts w:ascii="Arial" w:hAnsi="Arial" w:cs="Arial"/>
        </w:rPr>
        <w:t xml:space="preserve">Israeli illegal </w:t>
      </w:r>
      <w:r w:rsidR="00451A7A" w:rsidRPr="00285B61">
        <w:rPr>
          <w:rFonts w:ascii="Arial" w:hAnsi="Arial" w:cs="Arial"/>
        </w:rPr>
        <w:t xml:space="preserve">occupation. </w:t>
      </w:r>
      <w:bookmarkEnd w:id="2"/>
      <w:r w:rsidR="00E07CC8" w:rsidRPr="00285B61">
        <w:rPr>
          <w:rFonts w:ascii="Arial" w:hAnsi="Arial" w:cs="Arial"/>
        </w:rPr>
        <w:t xml:space="preserve">The University has failed to adhere to its own </w:t>
      </w:r>
      <w:r w:rsidR="00D75E94">
        <w:rPr>
          <w:rFonts w:ascii="Arial" w:hAnsi="Arial" w:cs="Arial"/>
        </w:rPr>
        <w:t xml:space="preserve">responsible </w:t>
      </w:r>
      <w:r w:rsidR="00E07CC8" w:rsidRPr="00285B61">
        <w:rPr>
          <w:rFonts w:ascii="Arial" w:hAnsi="Arial" w:cs="Arial"/>
        </w:rPr>
        <w:t>investment policy</w:t>
      </w:r>
      <w:r w:rsidR="00A65E0E" w:rsidRPr="00285B61">
        <w:rPr>
          <w:rFonts w:ascii="Arial" w:hAnsi="Arial" w:cs="Arial"/>
        </w:rPr>
        <w:t>.</w:t>
      </w:r>
      <w:r w:rsidR="00E07CC8" w:rsidRPr="00285B61">
        <w:rPr>
          <w:rFonts w:ascii="Arial" w:hAnsi="Arial" w:cs="Arial"/>
        </w:rPr>
        <w:t xml:space="preserve"> </w:t>
      </w:r>
      <w:r w:rsidR="00451A7A" w:rsidRPr="00285B61">
        <w:rPr>
          <w:rFonts w:ascii="Arial" w:hAnsi="Arial" w:cs="Arial"/>
        </w:rPr>
        <w:t xml:space="preserve">A breakdown of the University’s unethical investments is attached. </w:t>
      </w:r>
    </w:p>
    <w:p w14:paraId="082EAACF" w14:textId="77777777" w:rsidR="00B33C08" w:rsidRDefault="00B33C08" w:rsidP="00622373">
      <w:pPr>
        <w:pStyle w:val="Body"/>
        <w:spacing w:line="300" w:lineRule="auto"/>
        <w:jc w:val="both"/>
        <w:rPr>
          <w:rFonts w:ascii="Arial" w:hAnsi="Arial" w:cs="Arial"/>
          <w:lang w:val="en-GB"/>
        </w:rPr>
      </w:pPr>
    </w:p>
    <w:p w14:paraId="3B6E8FFD" w14:textId="6D80FB1E"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3"/>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4"/>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5"/>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6"/>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7"/>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3" w:name="_Hlk159691425"/>
      <w:r w:rsidRPr="00172570">
        <w:rPr>
          <w:rFonts w:ascii="Arial" w:hAnsi="Arial" w:cs="Arial"/>
          <w:color w:val="auto"/>
          <w:lang w:val="en-GB"/>
        </w:rPr>
        <w:t>International Criminal Court Act 2001</w:t>
      </w:r>
      <w:bookmarkEnd w:id="3"/>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824CAE2" w14:textId="117CF21A" w:rsidR="0014373C"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8"/>
      </w:r>
    </w:p>
    <w:p w14:paraId="28A450E2" w14:textId="77777777" w:rsidR="00FA6E04" w:rsidRPr="00172570" w:rsidRDefault="00FA6E04" w:rsidP="007B5FC4">
      <w:pPr>
        <w:pStyle w:val="Body"/>
        <w:spacing w:line="300" w:lineRule="auto"/>
        <w:jc w:val="both"/>
        <w:rPr>
          <w:rFonts w:ascii="Arial" w:hAnsi="Arial" w:cs="Arial"/>
          <w:lang w:val="en-GB"/>
        </w:rPr>
      </w:pP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4"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9"/>
      </w:r>
      <w:r w:rsidRPr="00172570">
        <w:rPr>
          <w:rFonts w:ascii="Arial" w:hAnsi="Arial" w:cs="Arial"/>
          <w:i/>
          <w:iCs/>
          <w:lang w:val="en-GB"/>
        </w:rPr>
        <w:t xml:space="preserve"> </w:t>
      </w:r>
      <w:r w:rsidR="006454FD" w:rsidRPr="00172570">
        <w:rPr>
          <w:rStyle w:val="FootnoteReference"/>
          <w:rFonts w:ascii="Arial" w:hAnsi="Arial" w:cs="Arial"/>
          <w:lang w:val="en-GB"/>
        </w:rPr>
        <w:footnoteReference w:id="10"/>
      </w:r>
    </w:p>
    <w:p w14:paraId="2B97B4BE" w14:textId="17384320" w:rsidR="008C45B5"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p w14:paraId="4DAF752C" w14:textId="77777777" w:rsidR="009978B2" w:rsidRPr="00172570" w:rsidRDefault="009978B2" w:rsidP="007B5FC4">
      <w:pPr>
        <w:pStyle w:val="Body"/>
        <w:spacing w:line="300" w:lineRule="auto"/>
        <w:jc w:val="both"/>
        <w:rPr>
          <w:rFonts w:ascii="Arial" w:hAnsi="Arial" w:cs="Arial"/>
          <w:lang w:val="en-GB"/>
        </w:rPr>
      </w:pPr>
    </w:p>
    <w:bookmarkEnd w:id="4"/>
    <w:p w14:paraId="3690A3EC" w14:textId="74687DCC"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D35EC5">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1"/>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12"/>
      </w:r>
    </w:p>
    <w:p w14:paraId="1EE01745" w14:textId="77777777" w:rsidR="003E1D2E" w:rsidRPr="00CF68E8" w:rsidRDefault="003E1D2E" w:rsidP="00CF68E8">
      <w:pPr>
        <w:spacing w:line="300" w:lineRule="auto"/>
        <w:jc w:val="both"/>
        <w:rPr>
          <w:rFonts w:ascii="Arial" w:eastAsia="Arial" w:hAnsi="Arial" w:cs="Arial"/>
        </w:rPr>
      </w:pPr>
    </w:p>
    <w:p w14:paraId="68F278E9" w14:textId="03F98E99" w:rsidR="00CF68E8" w:rsidRPr="00CF68E8" w:rsidRDefault="00D35EC5" w:rsidP="00CF68E8">
      <w:pPr>
        <w:spacing w:line="300" w:lineRule="auto"/>
        <w:jc w:val="both"/>
        <w:rPr>
          <w:rFonts w:ascii="Arial" w:eastAsia="Arial" w:hAnsi="Arial" w:cs="Arial"/>
          <w:u w:val="single"/>
        </w:rPr>
      </w:pPr>
      <w:bookmarkStart w:id="5" w:name="_Hlk177535806"/>
      <w:r w:rsidRPr="00D35EC5">
        <w:rPr>
          <w:rFonts w:ascii="Arial" w:eastAsia="Arial" w:hAnsi="Arial" w:cs="Arial"/>
          <w:u w:val="single"/>
        </w:rPr>
        <w:t>ICJ Ruling July 2024</w:t>
      </w:r>
    </w:p>
    <w:p w14:paraId="391579C8" w14:textId="77777777" w:rsidR="00CF68E8" w:rsidRPr="00CF68E8" w:rsidRDefault="00CF68E8" w:rsidP="00CF68E8">
      <w:pPr>
        <w:spacing w:line="300" w:lineRule="auto"/>
        <w:jc w:val="both"/>
        <w:rPr>
          <w:rFonts w:ascii="Arial" w:eastAsia="Arial" w:hAnsi="Arial" w:cs="Arial"/>
        </w:rPr>
      </w:pPr>
      <w:r w:rsidRPr="00CF68E8">
        <w:rPr>
          <w:rFonts w:ascii="Arial" w:eastAsia="Arial" w:hAnsi="Arial" w:cs="Arial"/>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CF68E8">
        <w:rPr>
          <w:rFonts w:ascii="Arial" w:eastAsia="Arial" w:hAnsi="Arial" w:cs="Arial"/>
          <w:vertAlign w:val="superscript"/>
        </w:rPr>
        <w:footnoteReference w:id="13"/>
      </w:r>
      <w:r w:rsidRPr="00CF68E8">
        <w:rPr>
          <w:rFonts w:ascii="Arial" w:eastAsia="Arial" w:hAnsi="Arial" w:cs="Arial"/>
        </w:rPr>
        <w:t>, Resolution 478 (1980)</w:t>
      </w:r>
      <w:r w:rsidRPr="00CF68E8">
        <w:rPr>
          <w:rFonts w:ascii="Arial" w:eastAsia="Arial" w:hAnsi="Arial" w:cs="Arial"/>
          <w:vertAlign w:val="superscript"/>
        </w:rPr>
        <w:footnoteReference w:id="14"/>
      </w:r>
      <w:r w:rsidRPr="00CF68E8">
        <w:rPr>
          <w:rFonts w:ascii="Arial" w:eastAsia="Arial" w:hAnsi="Arial" w:cs="Arial"/>
        </w:rPr>
        <w:t xml:space="preserve"> and Resolution 2334 (2016)</w:t>
      </w:r>
      <w:r w:rsidRPr="00CF68E8">
        <w:rPr>
          <w:rFonts w:ascii="Arial" w:eastAsia="Arial" w:hAnsi="Arial" w:cs="Arial"/>
          <w:vertAlign w:val="superscript"/>
        </w:rPr>
        <w:footnoteReference w:id="15"/>
      </w:r>
      <w:r w:rsidRPr="00CF68E8">
        <w:rPr>
          <w:rFonts w:ascii="Arial" w:eastAsia="Arial" w:hAnsi="Arial" w:cs="Arial"/>
        </w:rPr>
        <w:t xml:space="preserve">,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 </w:t>
      </w:r>
    </w:p>
    <w:p w14:paraId="07EDC028" w14:textId="77777777" w:rsidR="00CF68E8" w:rsidRPr="00CF68E8" w:rsidRDefault="00CF68E8" w:rsidP="00CF68E8">
      <w:pPr>
        <w:spacing w:line="300" w:lineRule="auto"/>
        <w:jc w:val="both"/>
        <w:rPr>
          <w:rFonts w:ascii="Arial" w:eastAsia="Arial" w:hAnsi="Arial" w:cs="Arial"/>
          <w:i/>
          <w:iCs/>
        </w:rPr>
      </w:pPr>
      <w:r w:rsidRPr="00CF68E8">
        <w:rPr>
          <w:rFonts w:ascii="Arial" w:eastAsia="Arial" w:hAnsi="Arial" w:cs="Arial"/>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CF68E8">
        <w:rPr>
          <w:rFonts w:ascii="Arial" w:eastAsia="Arial" w:hAnsi="Arial" w:cs="Arial"/>
          <w:vertAlign w:val="superscript"/>
        </w:rPr>
        <w:footnoteReference w:id="16"/>
      </w:r>
      <w:r w:rsidRPr="00CF68E8">
        <w:rPr>
          <w:rFonts w:ascii="Arial" w:eastAsia="Arial" w:hAnsi="Arial" w:cs="Arial"/>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CF68E8">
        <w:rPr>
          <w:rFonts w:ascii="Arial" w:eastAsia="Arial" w:hAnsi="Arial" w:cs="Arial"/>
          <w:i/>
          <w:iCs/>
        </w:rPr>
        <w:t>“the establishment and continuing expansion of settlements amount to the transfer by Israel of its own civilian population into the territories that it occupies, which amounts to a war crime under international law.”</w:t>
      </w:r>
      <w:r w:rsidRPr="00CF68E8">
        <w:rPr>
          <w:rFonts w:ascii="Arial" w:eastAsia="Arial" w:hAnsi="Arial" w:cs="Arial"/>
          <w:i/>
          <w:iCs/>
          <w:vertAlign w:val="superscript"/>
        </w:rPr>
        <w:footnoteReference w:id="17"/>
      </w:r>
      <w:r w:rsidRPr="00CF68E8">
        <w:rPr>
          <w:rFonts w:ascii="Arial" w:eastAsia="Arial" w:hAnsi="Arial" w:cs="Arial"/>
          <w:i/>
          <w:iCs/>
        </w:rPr>
        <w:t xml:space="preserve"> </w:t>
      </w:r>
      <w:r w:rsidRPr="00CF68E8">
        <w:rPr>
          <w:rFonts w:ascii="Arial" w:eastAsia="Arial" w:hAnsi="Arial" w:cs="Arial"/>
        </w:rPr>
        <w:t>The UN report also found</w:t>
      </w:r>
      <w:r w:rsidRPr="00CF68E8">
        <w:rPr>
          <w:rFonts w:ascii="Arial" w:eastAsia="Arial" w:hAnsi="Arial" w:cs="Arial"/>
          <w:i/>
          <w:iCs/>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CF68E8">
        <w:rPr>
          <w:rFonts w:ascii="Arial" w:eastAsia="Arial" w:hAnsi="Arial" w:cs="Arial"/>
          <w:i/>
          <w:iCs/>
          <w:vertAlign w:val="superscript"/>
        </w:rPr>
        <w:footnoteReference w:id="18"/>
      </w:r>
    </w:p>
    <w:bookmarkEnd w:id="5"/>
    <w:p w14:paraId="1AFA926E" w14:textId="77777777" w:rsidR="00CF68E8" w:rsidRPr="00CF68E8" w:rsidRDefault="00CF68E8" w:rsidP="00CF68E8">
      <w:pPr>
        <w:spacing w:line="300" w:lineRule="auto"/>
        <w:jc w:val="both"/>
        <w:rPr>
          <w:rFonts w:ascii="Arial" w:eastAsia="Arial" w:hAnsi="Arial" w:cs="Arial"/>
        </w:rPr>
      </w:pPr>
    </w:p>
    <w:p w14:paraId="2D982E85" w14:textId="6E0900DF" w:rsidR="000E0B18" w:rsidRPr="00172570" w:rsidRDefault="009A2DEE" w:rsidP="007B5FC4">
      <w:pPr>
        <w:pStyle w:val="Body"/>
        <w:spacing w:line="300" w:lineRule="auto"/>
        <w:jc w:val="both"/>
        <w:rPr>
          <w:rFonts w:ascii="Arial" w:hAnsi="Arial" w:cs="Arial"/>
          <w:u w:val="single"/>
          <w:lang w:val="en-GB"/>
        </w:rPr>
      </w:pPr>
      <w:r>
        <w:rPr>
          <w:rFonts w:ascii="Arial" w:hAnsi="Arial" w:cs="Arial"/>
          <w:u w:val="single"/>
          <w:lang w:val="en-GB"/>
        </w:rPr>
        <w:t xml:space="preserve">University of </w:t>
      </w:r>
      <w:proofErr w:type="spellStart"/>
      <w:r w:rsidR="00303C49">
        <w:rPr>
          <w:rFonts w:ascii="Arial" w:hAnsi="Arial" w:cs="Arial"/>
          <w:u w:val="single"/>
          <w:lang w:val="en-GB"/>
        </w:rPr>
        <w:t>Leed’s</w:t>
      </w:r>
      <w:proofErr w:type="spellEnd"/>
      <w:r w:rsidR="00370BEC">
        <w:rPr>
          <w:rFonts w:ascii="Arial" w:hAnsi="Arial" w:cs="Arial"/>
          <w:u w:val="single"/>
          <w:lang w:val="en-GB"/>
        </w:rPr>
        <w:t xml:space="preserve"> </w:t>
      </w:r>
      <w:r w:rsidR="000E0B18" w:rsidRPr="009C1E81">
        <w:rPr>
          <w:rFonts w:ascii="Arial" w:hAnsi="Arial" w:cs="Arial"/>
          <w:u w:val="single"/>
          <w:lang w:val="en-GB"/>
        </w:rPr>
        <w:t>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19"/>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0"/>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w:t>
      </w:r>
      <w:proofErr w:type="spellStart"/>
      <w:r w:rsidR="002151C0" w:rsidRPr="00172570">
        <w:rPr>
          <w:rFonts w:ascii="Arial" w:hAnsi="Arial" w:cs="Arial"/>
          <w:lang w:val="en-GB"/>
        </w:rPr>
        <w:t>Josep</w:t>
      </w:r>
      <w:proofErr w:type="spellEnd"/>
      <w:r w:rsidR="002151C0" w:rsidRPr="00172570">
        <w:rPr>
          <w:rFonts w:ascii="Arial" w:hAnsi="Arial" w:cs="Arial"/>
          <w:lang w:val="en-GB"/>
        </w:rPr>
        <w:t xml:space="preserve">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1"/>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4F720BD6"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 xml:space="preserve">tuition fee payer to </w:t>
      </w:r>
      <w:r w:rsidR="00EB61CE">
        <w:rPr>
          <w:rFonts w:ascii="Arial" w:hAnsi="Arial" w:cs="Arial"/>
          <w:lang w:val="en-GB"/>
        </w:rPr>
        <w:t>University</w:t>
      </w:r>
      <w:r w:rsidR="009A2DEE">
        <w:rPr>
          <w:rFonts w:ascii="Arial" w:hAnsi="Arial" w:cs="Arial"/>
          <w:lang w:val="en-GB"/>
        </w:rPr>
        <w:t xml:space="preserve"> of </w:t>
      </w:r>
      <w:r w:rsidR="00303C49">
        <w:rPr>
          <w:rFonts w:ascii="Arial" w:hAnsi="Arial" w:cs="Arial"/>
          <w:lang w:val="en-GB"/>
        </w:rPr>
        <w:t>Leeds</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w:t>
      </w:r>
      <w:r w:rsidR="00E07CC8" w:rsidRPr="002F6D43">
        <w:rPr>
          <w:rFonts w:ascii="Arial" w:hAnsi="Arial" w:cs="Arial"/>
          <w:b/>
          <w:bCs/>
          <w:lang w:val="en-GB"/>
        </w:rPr>
        <w:t xml:space="preserve">divests </w:t>
      </w:r>
      <w:r w:rsidR="00E07CC8">
        <w:rPr>
          <w:rFonts w:ascii="Arial" w:hAnsi="Arial" w:cs="Arial"/>
          <w:lang w:val="en-GB"/>
        </w:rPr>
        <w:t xml:space="preserve">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22"/>
      </w:r>
      <w:r w:rsidR="00CE757B">
        <w:rPr>
          <w:rFonts w:ascii="Arial" w:hAnsi="Arial" w:cs="Arial"/>
          <w:lang w:val="en-GB"/>
        </w:rPr>
        <w:t xml:space="preserve"> </w:t>
      </w:r>
      <w:r w:rsidR="009C1E81">
        <w:rPr>
          <w:rFonts w:ascii="Arial" w:hAnsi="Arial" w:cs="Arial"/>
          <w:lang w:val="en-GB"/>
        </w:rPr>
        <w:t>its</w:t>
      </w:r>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23"/>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24"/>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25"/>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26"/>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 xml:space="preserve">Karim </w:t>
      </w:r>
      <w:proofErr w:type="spellStart"/>
      <w:r w:rsidRPr="00F46E51">
        <w:rPr>
          <w:rFonts w:ascii="Arial" w:hAnsi="Arial" w:cs="Arial"/>
          <w:lang w:val="en-GB"/>
        </w:rPr>
        <w:t>Khan,</w:t>
      </w:r>
      <w:proofErr w:type="spellEnd"/>
      <w:r w:rsidRPr="00F46E51">
        <w:rPr>
          <w:rFonts w:ascii="Arial" w:hAnsi="Arial" w:cs="Arial"/>
          <w:lang w:val="en-GB"/>
        </w:rPr>
        <w:t xml:space="preserve">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27"/>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w:t>
      </w:r>
      <w:proofErr w:type="spellStart"/>
      <w:r w:rsidR="00570D95" w:rsidRPr="00570D95">
        <w:rPr>
          <w:rFonts w:ascii="Arial" w:hAnsi="Arial" w:cs="Arial"/>
        </w:rPr>
        <w:t>Defence</w:t>
      </w:r>
      <w:proofErr w:type="spellEnd"/>
      <w:r w:rsidR="00570D95" w:rsidRPr="00570D95">
        <w:rPr>
          <w:rFonts w:ascii="Arial" w:hAnsi="Arial" w:cs="Arial"/>
        </w:rPr>
        <w:t xml:space="preserv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28"/>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 xml:space="preserve">“There is no justification for the UK’s continued arms sales to Israel yet somehow it continues. I have raised this at every level in the </w:t>
      </w:r>
      <w:proofErr w:type="spellStart"/>
      <w:r w:rsidRPr="00BA1298">
        <w:rPr>
          <w:rFonts w:ascii="Arial" w:hAnsi="Arial" w:cs="Arial"/>
          <w:i/>
          <w:iCs/>
        </w:rPr>
        <w:t>organisation</w:t>
      </w:r>
      <w:proofErr w:type="spellEnd"/>
      <w:r w:rsidRPr="00BA1298">
        <w:rPr>
          <w:rFonts w:ascii="Arial" w:hAnsi="Arial" w:cs="Arial"/>
          <w:i/>
          <w:iCs/>
        </w:rPr>
        <w:t xml:space="preserve">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29"/>
      </w:r>
      <w:r w:rsidRPr="00BA1298">
        <w:rPr>
          <w:rFonts w:ascii="Arial" w:hAnsi="Arial" w:cs="Arial"/>
          <w:i/>
          <w:iCs/>
        </w:rPr>
        <w:t xml:space="preserve"> </w:t>
      </w:r>
      <w:r>
        <w:rPr>
          <w:rStyle w:val="FootnoteReference"/>
          <w:rFonts w:ascii="Arial" w:hAnsi="Arial" w:cs="Arial"/>
          <w:i/>
          <w:iCs/>
        </w:rPr>
        <w:footnoteReference w:id="30"/>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37F34A94" w14:textId="77777777" w:rsidR="002B54F0" w:rsidRPr="002B54F0" w:rsidRDefault="002B54F0" w:rsidP="002B54F0">
      <w:pPr>
        <w:pStyle w:val="Body"/>
        <w:spacing w:line="300" w:lineRule="auto"/>
        <w:jc w:val="both"/>
        <w:rPr>
          <w:rFonts w:ascii="Arial" w:hAnsi="Arial" w:cs="Arial"/>
          <w:highlight w:val="yellow"/>
        </w:rPr>
      </w:pPr>
      <w:r w:rsidRPr="002B54F0">
        <w:rPr>
          <w:rFonts w:ascii="Arial" w:hAnsi="Arial" w:cs="Arial"/>
          <w:highlight w:val="yellow"/>
        </w:rPr>
        <w:t>*Please delete paragraph that does not apply to you:</w:t>
      </w:r>
    </w:p>
    <w:p w14:paraId="0B80DB39" w14:textId="77777777" w:rsidR="002B54F0" w:rsidRPr="002B54F0" w:rsidRDefault="002B54F0" w:rsidP="002B54F0">
      <w:pPr>
        <w:pStyle w:val="Body"/>
        <w:spacing w:line="300" w:lineRule="auto"/>
        <w:jc w:val="both"/>
        <w:rPr>
          <w:rFonts w:ascii="Arial" w:hAnsi="Arial" w:cs="Arial"/>
          <w:highlight w:val="yellow"/>
        </w:rPr>
      </w:pPr>
      <w:r w:rsidRPr="002B54F0">
        <w:rPr>
          <w:rFonts w:ascii="Arial" w:hAnsi="Arial" w:cs="Arial"/>
          <w:highlight w:val="yellow"/>
        </w:rPr>
        <w:t>If fees paid by Student Loans Company:</w:t>
      </w:r>
    </w:p>
    <w:p w14:paraId="6966C9CF" w14:textId="77777777" w:rsidR="002B54F0" w:rsidRPr="002B54F0" w:rsidRDefault="002B54F0" w:rsidP="002B54F0">
      <w:pPr>
        <w:pStyle w:val="Body"/>
        <w:spacing w:line="300" w:lineRule="auto"/>
        <w:jc w:val="both"/>
        <w:rPr>
          <w:rFonts w:ascii="Arial" w:hAnsi="Arial" w:cs="Arial"/>
          <w:highlight w:val="yellow"/>
        </w:rPr>
      </w:pPr>
      <w:r w:rsidRPr="002B54F0">
        <w:rPr>
          <w:rFonts w:ascii="Arial" w:hAnsi="Arial" w:cs="Arial"/>
          <w:highlight w:val="yellow"/>
        </w:rPr>
        <w:t>My demand is for a refund of my tuition fees that I will pay over the course of 2024 to 2025 to be refunded to the Student Loans Company on a 6 monthly basis 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2758FB91" w14:textId="77777777" w:rsidR="002B54F0" w:rsidRPr="002B54F0" w:rsidRDefault="002B54F0" w:rsidP="002B54F0">
      <w:pPr>
        <w:pStyle w:val="Body"/>
        <w:spacing w:line="300" w:lineRule="auto"/>
        <w:jc w:val="both"/>
        <w:rPr>
          <w:rFonts w:ascii="Arial" w:hAnsi="Arial" w:cs="Arial"/>
          <w:highlight w:val="yellow"/>
        </w:rPr>
      </w:pPr>
      <w:r w:rsidRPr="002B54F0">
        <w:rPr>
          <w:rFonts w:ascii="Arial" w:hAnsi="Arial" w:cs="Arial"/>
          <w:highlight w:val="yellow"/>
        </w:rPr>
        <w:t xml:space="preserve">If fees paid privately: </w:t>
      </w:r>
    </w:p>
    <w:p w14:paraId="1BB7BCB3" w14:textId="77777777" w:rsidR="002B54F0" w:rsidRPr="002B54F0" w:rsidRDefault="002B54F0" w:rsidP="002B54F0">
      <w:pPr>
        <w:pStyle w:val="Body"/>
        <w:spacing w:line="300" w:lineRule="auto"/>
        <w:jc w:val="both"/>
        <w:rPr>
          <w:rFonts w:ascii="Arial" w:hAnsi="Arial" w:cs="Arial"/>
          <w:highlight w:val="yellow"/>
        </w:rPr>
      </w:pPr>
      <w:bookmarkStart w:id="6" w:name="_Hlk178713918"/>
      <w:r w:rsidRPr="002B54F0">
        <w:rPr>
          <w:rFonts w:ascii="Arial" w:hAnsi="Arial" w:cs="Arial"/>
          <w:highlight w:val="yellow"/>
        </w:rPr>
        <w:t xml:space="preserve">My demand is for a refund of my tuition fees that I will pay over the course of 2024 to 2025. </w:t>
      </w:r>
      <w:bookmarkEnd w:id="6"/>
      <w:r w:rsidRPr="002B54F0">
        <w:rPr>
          <w:rFonts w:ascii="Arial" w:hAnsi="Arial" w:cs="Arial"/>
          <w:highlight w:val="yellow"/>
        </w:rPr>
        <w:t xml:space="preserve">My tuition fees should be refunded to me on a </w:t>
      </w:r>
      <w:proofErr w:type="gramStart"/>
      <w:r w:rsidRPr="002B54F0">
        <w:rPr>
          <w:rFonts w:ascii="Arial" w:hAnsi="Arial" w:cs="Arial"/>
          <w:highlight w:val="yellow"/>
        </w:rPr>
        <w:t>6 monthly</w:t>
      </w:r>
      <w:proofErr w:type="gramEnd"/>
      <w:r w:rsidRPr="002B54F0">
        <w:rPr>
          <w:rFonts w:ascii="Arial" w:hAnsi="Arial" w:cs="Arial"/>
          <w:highlight w:val="yellow"/>
        </w:rPr>
        <w:t xml:space="preserve"> basis. Once I receive the refund, I intend to place the tuition fee payments due to the University in a separate bank account in for a period of 12 months. During this time, I expect the University to divest from its investments that are contributing to the systematic abuse and war crimes against the Palestinian people failing which I will retain the money at the end of the </w:t>
      </w:r>
      <w:proofErr w:type="gramStart"/>
      <w:r w:rsidRPr="002B54F0">
        <w:rPr>
          <w:rFonts w:ascii="Arial" w:hAnsi="Arial" w:cs="Arial"/>
          <w:highlight w:val="yellow"/>
        </w:rPr>
        <w:t>12 month</w:t>
      </w:r>
      <w:proofErr w:type="gramEnd"/>
      <w:r w:rsidRPr="002B54F0">
        <w:rPr>
          <w:rFonts w:ascii="Arial" w:hAnsi="Arial" w:cs="Arial"/>
          <w:highlight w:val="yellow"/>
        </w:rPr>
        <w:t xml:space="preserve"> period. I refuse to contribute towards the illegal occupation of the Palestinians and their systematic ethnic cleansing.</w:t>
      </w:r>
    </w:p>
    <w:p w14:paraId="72CEDC64" w14:textId="77777777" w:rsidR="002B54F0" w:rsidRPr="002B54F0" w:rsidRDefault="002B54F0" w:rsidP="002B54F0">
      <w:pPr>
        <w:pStyle w:val="Body"/>
        <w:spacing w:line="300" w:lineRule="auto"/>
        <w:jc w:val="both"/>
        <w:rPr>
          <w:rFonts w:ascii="Arial" w:hAnsi="Arial" w:cs="Arial"/>
          <w:highlight w:val="yellow"/>
        </w:rPr>
      </w:pPr>
      <w:r w:rsidRPr="002B54F0">
        <w:rPr>
          <w:rFonts w:ascii="Arial" w:hAnsi="Arial" w:cs="Arial"/>
          <w:highlight w:val="yellow"/>
        </w:rPr>
        <w:t xml:space="preserve">My account details for refund of my tuition fees is: </w:t>
      </w:r>
    </w:p>
    <w:p w14:paraId="04E9DF78" w14:textId="77777777" w:rsidR="002B54F0" w:rsidRPr="002B54F0" w:rsidRDefault="002B54F0" w:rsidP="002B54F0">
      <w:pPr>
        <w:pStyle w:val="Body"/>
        <w:spacing w:line="300" w:lineRule="auto"/>
        <w:jc w:val="both"/>
        <w:rPr>
          <w:rFonts w:ascii="Arial" w:hAnsi="Arial" w:cs="Arial"/>
          <w:highlight w:val="yellow"/>
        </w:rPr>
      </w:pPr>
      <w:r w:rsidRPr="002B54F0">
        <w:rPr>
          <w:rFonts w:ascii="Arial" w:hAnsi="Arial" w:cs="Arial"/>
          <w:highlight w:val="yellow"/>
        </w:rPr>
        <w:t xml:space="preserve">Account Name:   </w:t>
      </w:r>
    </w:p>
    <w:p w14:paraId="1B2EAAE1" w14:textId="77777777" w:rsidR="002B54F0" w:rsidRPr="002B54F0" w:rsidRDefault="002B54F0" w:rsidP="002B54F0">
      <w:pPr>
        <w:pStyle w:val="Body"/>
        <w:spacing w:line="300" w:lineRule="auto"/>
        <w:jc w:val="both"/>
        <w:rPr>
          <w:rFonts w:ascii="Arial" w:hAnsi="Arial" w:cs="Arial"/>
          <w:highlight w:val="yellow"/>
        </w:rPr>
      </w:pPr>
      <w:r w:rsidRPr="002B54F0">
        <w:rPr>
          <w:rFonts w:ascii="Arial" w:hAnsi="Arial" w:cs="Arial"/>
          <w:highlight w:val="yellow"/>
        </w:rPr>
        <w:t xml:space="preserve">Account Number: </w:t>
      </w:r>
    </w:p>
    <w:p w14:paraId="685E3AA0" w14:textId="77777777" w:rsidR="002B54F0" w:rsidRPr="002B54F0" w:rsidRDefault="002B54F0" w:rsidP="002B54F0">
      <w:pPr>
        <w:pStyle w:val="Body"/>
        <w:spacing w:line="300" w:lineRule="auto"/>
        <w:jc w:val="both"/>
        <w:rPr>
          <w:rFonts w:ascii="Arial" w:hAnsi="Arial" w:cs="Arial"/>
          <w:highlight w:val="yellow"/>
        </w:rPr>
      </w:pPr>
      <w:r w:rsidRPr="002B54F0">
        <w:rPr>
          <w:rFonts w:ascii="Arial" w:hAnsi="Arial" w:cs="Arial"/>
          <w:highlight w:val="yellow"/>
        </w:rPr>
        <w:t xml:space="preserve">Sort Code: </w:t>
      </w:r>
    </w:p>
    <w:p w14:paraId="01FBF182" w14:textId="77777777" w:rsidR="002B54F0" w:rsidRPr="002B54F0" w:rsidRDefault="002B54F0" w:rsidP="002B54F0">
      <w:pPr>
        <w:pStyle w:val="Body"/>
        <w:spacing w:line="300" w:lineRule="auto"/>
        <w:jc w:val="both"/>
        <w:rPr>
          <w:rFonts w:ascii="Arial" w:hAnsi="Arial" w:cs="Arial"/>
        </w:rPr>
      </w:pPr>
      <w:r w:rsidRPr="002B54F0">
        <w:rPr>
          <w:rFonts w:ascii="Arial" w:hAnsi="Arial" w:cs="Arial"/>
          <w:highlight w:val="yellow"/>
        </w:rPr>
        <w:t>Bank:</w:t>
      </w:r>
      <w:r w:rsidRPr="002B54F0">
        <w:rPr>
          <w:rFonts w:ascii="Arial" w:hAnsi="Arial" w:cs="Arial"/>
        </w:rPr>
        <w:t xml:space="preserve">  </w:t>
      </w:r>
    </w:p>
    <w:p w14:paraId="396CB27D" w14:textId="77777777" w:rsidR="002B54F0" w:rsidRPr="002B54F0" w:rsidRDefault="002B54F0" w:rsidP="002B54F0">
      <w:pPr>
        <w:pStyle w:val="Body"/>
        <w:spacing w:line="300" w:lineRule="auto"/>
        <w:jc w:val="both"/>
        <w:rPr>
          <w:rFonts w:ascii="Arial" w:hAnsi="Arial" w:cs="Arial"/>
        </w:rPr>
      </w:pPr>
      <w:r w:rsidRPr="002B54F0">
        <w:rPr>
          <w:rFonts w:ascii="Arial" w:hAnsi="Arial" w:cs="Arial"/>
        </w:rPr>
        <w:t xml:space="preserve">Please contact me by email, should you wish to discuss my notice demanding a refund of my tuition fees. </w:t>
      </w:r>
    </w:p>
    <w:p w14:paraId="1A0829F9" w14:textId="77777777" w:rsidR="002B54F0" w:rsidRPr="002B54F0" w:rsidRDefault="002B54F0" w:rsidP="002B54F0">
      <w:pPr>
        <w:pStyle w:val="Body"/>
        <w:spacing w:line="300" w:lineRule="auto"/>
        <w:jc w:val="both"/>
        <w:rPr>
          <w:rFonts w:ascii="Arial" w:hAnsi="Arial" w:cs="Arial"/>
        </w:rPr>
      </w:pPr>
      <w:r w:rsidRPr="002B54F0">
        <w:rPr>
          <w:rFonts w:ascii="Arial" w:hAnsi="Arial" w:cs="Arial"/>
        </w:rPr>
        <w:t xml:space="preserve">Yours sincerely </w:t>
      </w:r>
    </w:p>
    <w:p w14:paraId="463F07A7" w14:textId="77777777" w:rsidR="002B54F0" w:rsidRPr="002B54F0" w:rsidRDefault="002B54F0" w:rsidP="002B54F0">
      <w:pPr>
        <w:pStyle w:val="Body"/>
        <w:spacing w:line="300" w:lineRule="auto"/>
        <w:jc w:val="both"/>
        <w:rPr>
          <w:rFonts w:ascii="Arial" w:hAnsi="Arial" w:cs="Arial"/>
        </w:rPr>
      </w:pPr>
    </w:p>
    <w:p w14:paraId="7B157578" w14:textId="77777777" w:rsidR="002B54F0" w:rsidRPr="002B54F0" w:rsidRDefault="002B54F0" w:rsidP="002B54F0">
      <w:pPr>
        <w:pStyle w:val="Body"/>
        <w:spacing w:line="300" w:lineRule="auto"/>
        <w:jc w:val="both"/>
        <w:rPr>
          <w:rFonts w:ascii="Arial" w:hAnsi="Arial" w:cs="Arial"/>
        </w:rPr>
      </w:pPr>
      <w:r w:rsidRPr="002B54F0">
        <w:rPr>
          <w:rFonts w:ascii="Arial" w:hAnsi="Arial" w:cs="Arial"/>
        </w:rPr>
        <w:t>………………………</w:t>
      </w:r>
    </w:p>
    <w:p w14:paraId="01487AB4" w14:textId="77777777" w:rsidR="002B54F0" w:rsidRPr="002B54F0" w:rsidRDefault="002B54F0" w:rsidP="002B54F0">
      <w:pPr>
        <w:pStyle w:val="Body"/>
        <w:spacing w:line="300" w:lineRule="auto"/>
        <w:jc w:val="both"/>
        <w:rPr>
          <w:rFonts w:ascii="Arial" w:hAnsi="Arial" w:cs="Arial"/>
        </w:rPr>
      </w:pPr>
      <w:r w:rsidRPr="002B54F0">
        <w:rPr>
          <w:rFonts w:ascii="Arial" w:hAnsi="Arial" w:cs="Arial"/>
        </w:rPr>
        <w:t xml:space="preserve">Email:    </w:t>
      </w:r>
    </w:p>
    <w:p w14:paraId="01FBCA3F" w14:textId="0E60F067" w:rsidR="00622373" w:rsidRPr="00172570" w:rsidRDefault="00622373" w:rsidP="002B54F0">
      <w:pPr>
        <w:pStyle w:val="Body"/>
        <w:spacing w:line="300" w:lineRule="auto"/>
        <w:jc w:val="both"/>
        <w:rPr>
          <w:rFonts w:ascii="Arial" w:eastAsia="Arial" w:hAnsi="Arial" w:cs="Arial"/>
          <w:lang w:val="en-GB"/>
        </w:rPr>
      </w:pPr>
    </w:p>
    <w:sectPr w:rsidR="00622373" w:rsidRPr="0017257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ADB4" w14:textId="77777777" w:rsidR="002218A0" w:rsidRPr="00150891" w:rsidRDefault="002218A0" w:rsidP="00C97AB6">
      <w:pPr>
        <w:spacing w:after="0" w:line="240" w:lineRule="auto"/>
      </w:pPr>
      <w:r w:rsidRPr="00150891">
        <w:separator/>
      </w:r>
    </w:p>
  </w:endnote>
  <w:endnote w:type="continuationSeparator" w:id="0">
    <w:p w14:paraId="25DF5E03" w14:textId="77777777" w:rsidR="002218A0" w:rsidRPr="00150891" w:rsidRDefault="002218A0"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07E1" w14:textId="77777777" w:rsidR="002218A0" w:rsidRPr="00150891" w:rsidRDefault="002218A0" w:rsidP="00C97AB6">
      <w:pPr>
        <w:spacing w:after="0" w:line="240" w:lineRule="auto"/>
      </w:pPr>
      <w:r w:rsidRPr="00150891">
        <w:separator/>
      </w:r>
    </w:p>
  </w:footnote>
  <w:footnote w:type="continuationSeparator" w:id="0">
    <w:p w14:paraId="633688FC" w14:textId="77777777" w:rsidR="002218A0" w:rsidRPr="00150891" w:rsidRDefault="002218A0"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455B68CF" w14:textId="51F540C6" w:rsidR="00D836DF" w:rsidRPr="00D836DF" w:rsidRDefault="00F52111">
      <w:pPr>
        <w:pStyle w:val="FootnoteText"/>
        <w:rPr>
          <w:color w:val="0000FF"/>
          <w:u w:val="single"/>
        </w:rPr>
      </w:pPr>
      <w:r>
        <w:rPr>
          <w:rStyle w:val="FootnoteReference"/>
        </w:rPr>
        <w:footnoteRef/>
      </w:r>
      <w:r>
        <w:t xml:space="preserve"> </w:t>
      </w:r>
      <w:hyperlink r:id="rId2" w:history="1">
        <w:r w:rsidR="00D836DF" w:rsidRPr="00D836DF">
          <w:rPr>
            <w:rStyle w:val="Hyperlink"/>
          </w:rPr>
          <w:t>Microsoft Word - Policy on responsible investment.docx (leeds.ac.uk)</w:t>
        </w:r>
      </w:hyperlink>
    </w:p>
  </w:footnote>
  <w:footnote w:id="3">
    <w:p w14:paraId="212E8BD5" w14:textId="61B68333" w:rsidR="003555BD" w:rsidRPr="003555BD" w:rsidRDefault="003555BD">
      <w:pPr>
        <w:pStyle w:val="FootnoteText"/>
        <w:rPr>
          <w:lang w:val="en-US"/>
        </w:rPr>
      </w:pPr>
      <w:r>
        <w:rPr>
          <w:rStyle w:val="FootnoteReference"/>
        </w:rPr>
        <w:footnoteRef/>
      </w:r>
      <w:r>
        <w:t xml:space="preserve"> </w:t>
      </w:r>
      <w:hyperlink r:id="rId3" w:history="1">
        <w:r w:rsidRPr="00367717">
          <w:rPr>
            <w:rStyle w:val="Hyperlink"/>
          </w:rPr>
          <w:t>https://www.reuters.com/world/middle-east/gaza-death-toll-how-many-palestinians-has-israels-campaign-killed-2024-07-25/</w:t>
        </w:r>
      </w:hyperlink>
      <w:r>
        <w:t xml:space="preserve"> </w:t>
      </w:r>
    </w:p>
  </w:footnote>
  <w:footnote w:id="4">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4"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5">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5" w:history="1">
        <w:r w:rsidRPr="00737DB2">
          <w:rPr>
            <w:color w:val="6373BA"/>
            <w:u w:val="single"/>
          </w:rPr>
          <w:t>LPHR legal briefing on starvation of civilians in Gaza - Lawyers for Palestinian Human Rights</w:t>
        </w:r>
      </w:hyperlink>
    </w:p>
  </w:footnote>
  <w:footnote w:id="6">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6" w:history="1">
        <w:r w:rsidRPr="00737DB2">
          <w:rPr>
            <w:color w:val="6373BA"/>
            <w:u w:val="single"/>
          </w:rPr>
          <w:t>BSG-WP-2019-031.pdf (ox.ac.uk)</w:t>
        </w:r>
      </w:hyperlink>
    </w:p>
  </w:footnote>
  <w:footnote w:id="7">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7"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8">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9">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8" w:history="1">
        <w:r w:rsidRPr="00274A6C">
          <w:rPr>
            <w:rStyle w:val="Hyperlink"/>
            <w:color w:val="6373BA"/>
            <w:u w:val="none"/>
          </w:rPr>
          <w:t>Arms Trade Treaty enters into force - GOV.UK (www.gov.uk)</w:t>
        </w:r>
      </w:hyperlink>
    </w:p>
  </w:footnote>
  <w:footnote w:id="10">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9" w:history="1">
        <w:r w:rsidRPr="00274A6C">
          <w:rPr>
            <w:color w:val="6373BA"/>
          </w:rPr>
          <w:t>Treaty Series No. 1 (2015) - Arms Trade Treaty (publishing.service.gov.uk)</w:t>
        </w:r>
      </w:hyperlink>
    </w:p>
  </w:footnote>
  <w:footnote w:id="11">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0"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12">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1"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13">
    <w:p w14:paraId="46F1717B" w14:textId="77777777" w:rsidR="00CF68E8" w:rsidRPr="00C4595A" w:rsidRDefault="00CF68E8" w:rsidP="00CF68E8">
      <w:pPr>
        <w:pStyle w:val="FootnoteText"/>
        <w:rPr>
          <w:lang w:val="en-US"/>
        </w:rPr>
      </w:pPr>
      <w:r>
        <w:rPr>
          <w:rStyle w:val="FootnoteReference"/>
        </w:rPr>
        <w:footnoteRef/>
      </w:r>
      <w:r>
        <w:t xml:space="preserve"> </w:t>
      </w:r>
      <w:hyperlink r:id="rId12" w:history="1">
        <w:r w:rsidRPr="000D09D7">
          <w:rPr>
            <w:rStyle w:val="Hyperlink"/>
          </w:rPr>
          <w:t>https://documents.un.org/doc/resolution/gen/nr0/370/60/pdf/nr037060.pdf</w:t>
        </w:r>
      </w:hyperlink>
      <w:r>
        <w:t xml:space="preserve"> </w:t>
      </w:r>
    </w:p>
  </w:footnote>
  <w:footnote w:id="14">
    <w:p w14:paraId="379B694E" w14:textId="77777777" w:rsidR="00CF68E8" w:rsidRPr="00C4595A" w:rsidRDefault="00CF68E8" w:rsidP="00CF68E8">
      <w:pPr>
        <w:pStyle w:val="FootnoteText"/>
        <w:rPr>
          <w:lang w:val="en-US"/>
        </w:rPr>
      </w:pPr>
      <w:r>
        <w:rPr>
          <w:rStyle w:val="FootnoteReference"/>
        </w:rPr>
        <w:footnoteRef/>
      </w:r>
      <w:r>
        <w:t xml:space="preserve"> </w:t>
      </w:r>
      <w:hyperlink r:id="rId13" w:history="1">
        <w:r w:rsidRPr="000D09D7">
          <w:rPr>
            <w:rStyle w:val="Hyperlink"/>
          </w:rPr>
          <w:t>https://documents.un.org/doc/resolution/gen/nr0/399/71/pdf/nr039971.pdf</w:t>
        </w:r>
      </w:hyperlink>
      <w:r>
        <w:t xml:space="preserve"> </w:t>
      </w:r>
    </w:p>
  </w:footnote>
  <w:footnote w:id="15">
    <w:p w14:paraId="6023A535" w14:textId="77777777" w:rsidR="00CF68E8" w:rsidRPr="00C4595A" w:rsidRDefault="00CF68E8" w:rsidP="00CF68E8">
      <w:pPr>
        <w:pStyle w:val="FootnoteText"/>
        <w:rPr>
          <w:lang w:val="en-US"/>
        </w:rPr>
      </w:pPr>
      <w:r>
        <w:rPr>
          <w:rStyle w:val="FootnoteReference"/>
        </w:rPr>
        <w:footnoteRef/>
      </w:r>
      <w:r>
        <w:t xml:space="preserve"> </w:t>
      </w:r>
      <w:hyperlink r:id="rId14" w:history="1">
        <w:r w:rsidRPr="000D09D7">
          <w:rPr>
            <w:rStyle w:val="Hyperlink"/>
          </w:rPr>
          <w:t>https://www.un.org/webcast/pdfs/SRES2334-2016.pdf</w:t>
        </w:r>
      </w:hyperlink>
      <w:r>
        <w:t xml:space="preserve"> </w:t>
      </w:r>
    </w:p>
  </w:footnote>
  <w:footnote w:id="16">
    <w:p w14:paraId="5285D438" w14:textId="77777777" w:rsidR="00CF68E8" w:rsidRPr="007315CA" w:rsidRDefault="00CF68E8" w:rsidP="00CF68E8">
      <w:pPr>
        <w:pStyle w:val="FootnoteText"/>
        <w:rPr>
          <w:lang w:val="en-US"/>
        </w:rPr>
      </w:pPr>
      <w:r>
        <w:rPr>
          <w:rStyle w:val="FootnoteReference"/>
        </w:rPr>
        <w:footnoteRef/>
      </w:r>
      <w:r>
        <w:t xml:space="preserve"> </w:t>
      </w:r>
      <w:hyperlink r:id="rId15" w:history="1">
        <w:r>
          <w:rPr>
            <w:rStyle w:val="Hyperlink"/>
          </w:rPr>
          <w:t>Experts hail ICJ declaration on illegality of Israel’s presence in the occupied Palestinian territory as “historic” for Palestinians and international law | OHCHR</w:t>
        </w:r>
      </w:hyperlink>
    </w:p>
  </w:footnote>
  <w:footnote w:id="17">
    <w:p w14:paraId="732B4CBF" w14:textId="77777777" w:rsidR="00CF68E8" w:rsidRPr="00C4595A" w:rsidRDefault="00CF68E8" w:rsidP="00CF68E8">
      <w:pPr>
        <w:pStyle w:val="FootnoteText"/>
        <w:rPr>
          <w:lang w:val="en-US"/>
        </w:rPr>
      </w:pPr>
      <w:r>
        <w:rPr>
          <w:rStyle w:val="FootnoteReference"/>
        </w:rPr>
        <w:footnoteRef/>
      </w:r>
      <w:r>
        <w:t xml:space="preserve"> </w:t>
      </w:r>
      <w:hyperlink r:id="rId16" w:history="1">
        <w:r w:rsidRPr="000D09D7">
          <w:rPr>
            <w:rStyle w:val="Hyperlink"/>
          </w:rPr>
          <w:t>https://www.ohchr.org/en/press-releases/2024/03/un-human-rights-chief-deplores-new-moves-expand-israeli-settlements-occupied</w:t>
        </w:r>
      </w:hyperlink>
      <w:r>
        <w:t xml:space="preserve"> </w:t>
      </w:r>
    </w:p>
  </w:footnote>
  <w:footnote w:id="18">
    <w:p w14:paraId="5F2C2482" w14:textId="77777777" w:rsidR="00CF68E8" w:rsidRPr="00C4595A" w:rsidRDefault="00CF68E8" w:rsidP="00CF68E8">
      <w:pPr>
        <w:pStyle w:val="FootnoteText"/>
        <w:rPr>
          <w:lang w:val="en-US"/>
        </w:rPr>
      </w:pPr>
      <w:r>
        <w:rPr>
          <w:rStyle w:val="FootnoteReference"/>
        </w:rPr>
        <w:footnoteRef/>
      </w:r>
      <w:r>
        <w:t xml:space="preserve"> </w:t>
      </w:r>
      <w:hyperlink r:id="rId17" w:history="1">
        <w:r w:rsidRPr="000D09D7">
          <w:rPr>
            <w:rStyle w:val="Hyperlink"/>
          </w:rPr>
          <w:t>https://www.ohchr.org/en/press-releases/2024/03/un-human-rights-chief-deplores-new-moves-expand-israeli-settlements-occupied</w:t>
        </w:r>
      </w:hyperlink>
      <w:r>
        <w:t xml:space="preserve"> </w:t>
      </w:r>
    </w:p>
  </w:footnote>
  <w:footnote w:id="19">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18"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0">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19"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1">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0" w:history="1">
        <w:r w:rsidRPr="002151C0">
          <w:rPr>
            <w:color w:val="2F5496" w:themeColor="accent1" w:themeShade="BF"/>
            <w:u w:val="single"/>
          </w:rPr>
          <w:t xml:space="preserve">Israel-Hamas war: European Union foreign policy chief </w:t>
        </w:r>
        <w:proofErr w:type="spellStart"/>
        <w:r w:rsidRPr="002151C0">
          <w:rPr>
            <w:color w:val="2F5496" w:themeColor="accent1" w:themeShade="BF"/>
            <w:u w:val="single"/>
          </w:rPr>
          <w:t>Josep</w:t>
        </w:r>
        <w:proofErr w:type="spellEnd"/>
        <w:r w:rsidRPr="002151C0">
          <w:rPr>
            <w:color w:val="2F5496" w:themeColor="accent1" w:themeShade="BF"/>
            <w:u w:val="single"/>
          </w:rPr>
          <w:t xml:space="preserve"> Borrell criticises the US's rhetoric on protecting civilians in Gaza while it amps up military aid to Israel | World News | Sky News</w:t>
        </w:r>
      </w:hyperlink>
    </w:p>
  </w:footnote>
  <w:footnote w:id="22">
    <w:p w14:paraId="35C0A2A4" w14:textId="66269932" w:rsidR="004B7F4E" w:rsidRPr="004B7F4E" w:rsidRDefault="004B7F4E">
      <w:pPr>
        <w:pStyle w:val="FootnoteText"/>
        <w:rPr>
          <w:lang w:val="en-US"/>
        </w:rPr>
      </w:pPr>
      <w:r>
        <w:rPr>
          <w:rStyle w:val="FootnoteReference"/>
        </w:rPr>
        <w:footnoteRef/>
      </w:r>
      <w:r>
        <w:t xml:space="preserve"> </w:t>
      </w:r>
      <w:hyperlink r:id="rId21" w:history="1">
        <w:r w:rsidRPr="00367717">
          <w:rPr>
            <w:rStyle w:val="Hyperlink"/>
          </w:rPr>
          <w:t>https://register-of-charities.charitycommission.gov.uk/charity-search/-/charity-details/4019048/governing-document</w:t>
        </w:r>
      </w:hyperlink>
      <w:r>
        <w:t xml:space="preserve"> </w:t>
      </w:r>
    </w:p>
  </w:footnote>
  <w:footnote w:id="23">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22"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24">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23" w:history="1">
        <w:r w:rsidRPr="00570D95">
          <w:rPr>
            <w:color w:val="4472C4" w:themeColor="accent1"/>
            <w:u w:val="single"/>
          </w:rPr>
          <w:t>Arms Export Licences: Israel - Hansard - UK Parliament</w:t>
        </w:r>
      </w:hyperlink>
    </w:p>
  </w:footnote>
  <w:footnote w:id="25">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24"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26">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27">
    <w:p w14:paraId="698C86B1" w14:textId="3BAB8287" w:rsidR="00673AA0" w:rsidRPr="00673AA0" w:rsidRDefault="00673AA0">
      <w:pPr>
        <w:pStyle w:val="FootnoteText"/>
        <w:rPr>
          <w:color w:val="227ACB"/>
          <w:lang w:val="en-US"/>
        </w:rPr>
      </w:pPr>
      <w:r>
        <w:rPr>
          <w:rStyle w:val="FootnoteReference"/>
        </w:rPr>
        <w:footnoteRef/>
      </w:r>
      <w:r>
        <w:t xml:space="preserve"> </w:t>
      </w:r>
      <w:hyperlink r:id="rId25" w:history="1">
        <w:r w:rsidRPr="00673AA0">
          <w:rPr>
            <w:color w:val="227ACB"/>
            <w:u w:val="single"/>
          </w:rPr>
          <w:t>Statement of ICC Prosecutor Karim A.A. Khan KC: Applications for arrest warrants in the situation in the State of Palestine | International Criminal Court (icc-cpi.int)</w:t>
        </w:r>
      </w:hyperlink>
    </w:p>
  </w:footnote>
  <w:footnote w:id="28">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26"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29">
    <w:p w14:paraId="706D73A1" w14:textId="77777777" w:rsidR="00BA1298" w:rsidRPr="00BA1298" w:rsidRDefault="00BA1298" w:rsidP="00BA1298">
      <w:pPr>
        <w:pStyle w:val="FootnoteText"/>
        <w:rPr>
          <w:lang w:val="en-US"/>
        </w:rPr>
      </w:pPr>
      <w:r>
        <w:rPr>
          <w:rStyle w:val="FootnoteReference"/>
        </w:rPr>
        <w:footnoteRef/>
      </w:r>
      <w:r>
        <w:t xml:space="preserve"> </w:t>
      </w:r>
      <w:hyperlink r:id="rId27" w:history="1">
        <w:r w:rsidRPr="00367717">
          <w:rPr>
            <w:rStyle w:val="Hyperlink"/>
          </w:rPr>
          <w:t>https://www.theguardian.com/world/article/2024/aug/18/foreign-office-official-quits-over-uk-refusal-to-ban-arms-exports-to-israel</w:t>
        </w:r>
      </w:hyperlink>
      <w:r>
        <w:t xml:space="preserve"> </w:t>
      </w:r>
    </w:p>
  </w:footnote>
  <w:footnote w:id="30">
    <w:p w14:paraId="31F9E6F1" w14:textId="77777777" w:rsidR="00BA1298" w:rsidRPr="00BA1298" w:rsidRDefault="00BA1298" w:rsidP="00BA1298">
      <w:pPr>
        <w:pStyle w:val="FootnoteText"/>
        <w:rPr>
          <w:lang w:val="en-US"/>
        </w:rPr>
      </w:pPr>
      <w:r>
        <w:rPr>
          <w:rStyle w:val="FootnoteReference"/>
        </w:rPr>
        <w:footnoteRef/>
      </w:r>
      <w:r>
        <w:t xml:space="preserve"> </w:t>
      </w:r>
      <w:hyperlink r:id="rId28"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C3E6B0D"/>
    <w:multiLevelType w:val="hybridMultilevel"/>
    <w:tmpl w:val="2CB47BC6"/>
    <w:lvl w:ilvl="0" w:tplc="50B6BC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54A39"/>
    <w:multiLevelType w:val="hybridMultilevel"/>
    <w:tmpl w:val="86D0608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16E03426"/>
    <w:multiLevelType w:val="hybridMultilevel"/>
    <w:tmpl w:val="FFFFFFFF"/>
    <w:numStyleLink w:val="ImportedStyle1"/>
  </w:abstractNum>
  <w:abstractNum w:abstractNumId="4" w15:restartNumberingAfterBreak="0">
    <w:nsid w:val="1B6B015D"/>
    <w:multiLevelType w:val="hybridMultilevel"/>
    <w:tmpl w:val="FCE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F20FD3"/>
    <w:multiLevelType w:val="hybridMultilevel"/>
    <w:tmpl w:val="1D9AF3E6"/>
    <w:numStyleLink w:val="Lettered"/>
  </w:abstractNum>
  <w:abstractNum w:abstractNumId="7" w15:restartNumberingAfterBreak="0">
    <w:nsid w:val="37A332CE"/>
    <w:multiLevelType w:val="hybridMultilevel"/>
    <w:tmpl w:val="7DA0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375F5"/>
    <w:multiLevelType w:val="hybridMultilevel"/>
    <w:tmpl w:val="FFFFFFFF"/>
    <w:numStyleLink w:val="ImportedStyle1"/>
  </w:abstractNum>
  <w:abstractNum w:abstractNumId="10" w15:restartNumberingAfterBreak="0">
    <w:nsid w:val="3C140BC1"/>
    <w:multiLevelType w:val="hybridMultilevel"/>
    <w:tmpl w:val="1570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A62F8"/>
    <w:multiLevelType w:val="hybridMultilevel"/>
    <w:tmpl w:val="E43698F6"/>
    <w:lvl w:ilvl="0" w:tplc="50B6BCD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11"/>
  </w:num>
  <w:num w:numId="10">
    <w:abstractNumId w:val="4"/>
  </w:num>
  <w:num w:numId="11">
    <w:abstractNumId w:val="7"/>
  </w:num>
  <w:num w:numId="12">
    <w:abstractNumId w:val="1"/>
  </w:num>
  <w:num w:numId="13">
    <w:abstractNumId w:val="12"/>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34EB0"/>
    <w:rsid w:val="00051883"/>
    <w:rsid w:val="00053603"/>
    <w:rsid w:val="00056BE1"/>
    <w:rsid w:val="00070050"/>
    <w:rsid w:val="00083E4E"/>
    <w:rsid w:val="00084C0A"/>
    <w:rsid w:val="000A3482"/>
    <w:rsid w:val="000B3678"/>
    <w:rsid w:val="000B7F82"/>
    <w:rsid w:val="000C2A50"/>
    <w:rsid w:val="000D2071"/>
    <w:rsid w:val="000D57DE"/>
    <w:rsid w:val="000E0B18"/>
    <w:rsid w:val="000E270E"/>
    <w:rsid w:val="000F3894"/>
    <w:rsid w:val="00115DFF"/>
    <w:rsid w:val="00141801"/>
    <w:rsid w:val="0014373C"/>
    <w:rsid w:val="00144F2C"/>
    <w:rsid w:val="001467E6"/>
    <w:rsid w:val="00150891"/>
    <w:rsid w:val="00161C73"/>
    <w:rsid w:val="00172570"/>
    <w:rsid w:val="00172D14"/>
    <w:rsid w:val="00177C7D"/>
    <w:rsid w:val="00194400"/>
    <w:rsid w:val="001A3D44"/>
    <w:rsid w:val="001B7524"/>
    <w:rsid w:val="001D28FF"/>
    <w:rsid w:val="001F50FD"/>
    <w:rsid w:val="002148B9"/>
    <w:rsid w:val="002151C0"/>
    <w:rsid w:val="002218A0"/>
    <w:rsid w:val="00230ECB"/>
    <w:rsid w:val="002322E8"/>
    <w:rsid w:val="00245AC2"/>
    <w:rsid w:val="00250B9A"/>
    <w:rsid w:val="002558F5"/>
    <w:rsid w:val="002572C5"/>
    <w:rsid w:val="00266F9E"/>
    <w:rsid w:val="00274A6C"/>
    <w:rsid w:val="00285B61"/>
    <w:rsid w:val="00296654"/>
    <w:rsid w:val="002A1D3B"/>
    <w:rsid w:val="002A60F9"/>
    <w:rsid w:val="002A6598"/>
    <w:rsid w:val="002B2D97"/>
    <w:rsid w:val="002B42CD"/>
    <w:rsid w:val="002B54F0"/>
    <w:rsid w:val="002C5F6E"/>
    <w:rsid w:val="002D0376"/>
    <w:rsid w:val="002D6ED9"/>
    <w:rsid w:val="002D7BEE"/>
    <w:rsid w:val="002F396F"/>
    <w:rsid w:val="002F6D43"/>
    <w:rsid w:val="00302824"/>
    <w:rsid w:val="00303C49"/>
    <w:rsid w:val="003231FF"/>
    <w:rsid w:val="00331F9C"/>
    <w:rsid w:val="00341B69"/>
    <w:rsid w:val="00345771"/>
    <w:rsid w:val="003537D5"/>
    <w:rsid w:val="00353A73"/>
    <w:rsid w:val="003555BD"/>
    <w:rsid w:val="00365FC7"/>
    <w:rsid w:val="00366355"/>
    <w:rsid w:val="00370BEC"/>
    <w:rsid w:val="00375C23"/>
    <w:rsid w:val="00376DBF"/>
    <w:rsid w:val="00377814"/>
    <w:rsid w:val="0038752E"/>
    <w:rsid w:val="003909D6"/>
    <w:rsid w:val="00390E2E"/>
    <w:rsid w:val="00392637"/>
    <w:rsid w:val="0039332D"/>
    <w:rsid w:val="0039335D"/>
    <w:rsid w:val="003A5DE7"/>
    <w:rsid w:val="003B333F"/>
    <w:rsid w:val="003B6306"/>
    <w:rsid w:val="003D3F62"/>
    <w:rsid w:val="003E035B"/>
    <w:rsid w:val="003E1D2E"/>
    <w:rsid w:val="003E1EC4"/>
    <w:rsid w:val="003F7354"/>
    <w:rsid w:val="00412857"/>
    <w:rsid w:val="00414774"/>
    <w:rsid w:val="00426E70"/>
    <w:rsid w:val="00430036"/>
    <w:rsid w:val="00437B5F"/>
    <w:rsid w:val="00451A7A"/>
    <w:rsid w:val="00455DE3"/>
    <w:rsid w:val="004676C1"/>
    <w:rsid w:val="00475037"/>
    <w:rsid w:val="00475F43"/>
    <w:rsid w:val="004801A8"/>
    <w:rsid w:val="0048135F"/>
    <w:rsid w:val="00481747"/>
    <w:rsid w:val="004B7F4E"/>
    <w:rsid w:val="004C2BCF"/>
    <w:rsid w:val="004C4113"/>
    <w:rsid w:val="004C5AED"/>
    <w:rsid w:val="004D1CE7"/>
    <w:rsid w:val="004D594B"/>
    <w:rsid w:val="004F7992"/>
    <w:rsid w:val="0050423E"/>
    <w:rsid w:val="005069AB"/>
    <w:rsid w:val="005114FF"/>
    <w:rsid w:val="00523DDF"/>
    <w:rsid w:val="005419D8"/>
    <w:rsid w:val="005433D3"/>
    <w:rsid w:val="00543D1C"/>
    <w:rsid w:val="00557FB3"/>
    <w:rsid w:val="005611FB"/>
    <w:rsid w:val="00570D95"/>
    <w:rsid w:val="00593BB5"/>
    <w:rsid w:val="0059779A"/>
    <w:rsid w:val="005A320E"/>
    <w:rsid w:val="005A4DEE"/>
    <w:rsid w:val="005A57BF"/>
    <w:rsid w:val="005A5F0C"/>
    <w:rsid w:val="005B1CC7"/>
    <w:rsid w:val="005E23D2"/>
    <w:rsid w:val="005E77C9"/>
    <w:rsid w:val="005F10C4"/>
    <w:rsid w:val="005F3839"/>
    <w:rsid w:val="006045FD"/>
    <w:rsid w:val="0061074A"/>
    <w:rsid w:val="006118B8"/>
    <w:rsid w:val="00622373"/>
    <w:rsid w:val="00632917"/>
    <w:rsid w:val="006454FD"/>
    <w:rsid w:val="00652F80"/>
    <w:rsid w:val="00656F6A"/>
    <w:rsid w:val="00657D06"/>
    <w:rsid w:val="00660E99"/>
    <w:rsid w:val="00661B54"/>
    <w:rsid w:val="00673AA0"/>
    <w:rsid w:val="00693908"/>
    <w:rsid w:val="006940C2"/>
    <w:rsid w:val="0069594E"/>
    <w:rsid w:val="006A4AA7"/>
    <w:rsid w:val="006B7988"/>
    <w:rsid w:val="006C59BB"/>
    <w:rsid w:val="006D343C"/>
    <w:rsid w:val="006E6B05"/>
    <w:rsid w:val="006E748E"/>
    <w:rsid w:val="006F0E45"/>
    <w:rsid w:val="006F6E00"/>
    <w:rsid w:val="006F7358"/>
    <w:rsid w:val="007037CF"/>
    <w:rsid w:val="00705849"/>
    <w:rsid w:val="0071519E"/>
    <w:rsid w:val="00733455"/>
    <w:rsid w:val="00737DB2"/>
    <w:rsid w:val="00746C13"/>
    <w:rsid w:val="007505F6"/>
    <w:rsid w:val="007723C4"/>
    <w:rsid w:val="00780160"/>
    <w:rsid w:val="007B3073"/>
    <w:rsid w:val="007B5FC4"/>
    <w:rsid w:val="007C0E82"/>
    <w:rsid w:val="007C2911"/>
    <w:rsid w:val="007E245C"/>
    <w:rsid w:val="007E47EE"/>
    <w:rsid w:val="007F02AA"/>
    <w:rsid w:val="0080269F"/>
    <w:rsid w:val="00804729"/>
    <w:rsid w:val="00810E65"/>
    <w:rsid w:val="00812359"/>
    <w:rsid w:val="00816586"/>
    <w:rsid w:val="00855624"/>
    <w:rsid w:val="008A2D11"/>
    <w:rsid w:val="008B26C8"/>
    <w:rsid w:val="008C344D"/>
    <w:rsid w:val="008C45B5"/>
    <w:rsid w:val="008D3D35"/>
    <w:rsid w:val="008D4EB2"/>
    <w:rsid w:val="008E40A9"/>
    <w:rsid w:val="008E5865"/>
    <w:rsid w:val="008F3748"/>
    <w:rsid w:val="008F7E21"/>
    <w:rsid w:val="00901E64"/>
    <w:rsid w:val="00907759"/>
    <w:rsid w:val="0091045A"/>
    <w:rsid w:val="009504E7"/>
    <w:rsid w:val="009663E7"/>
    <w:rsid w:val="00967051"/>
    <w:rsid w:val="009820E4"/>
    <w:rsid w:val="009978B2"/>
    <w:rsid w:val="009A0AD3"/>
    <w:rsid w:val="009A29C9"/>
    <w:rsid w:val="009A2DEE"/>
    <w:rsid w:val="009A3846"/>
    <w:rsid w:val="009B0A07"/>
    <w:rsid w:val="009B735B"/>
    <w:rsid w:val="009C1E81"/>
    <w:rsid w:val="009C5B85"/>
    <w:rsid w:val="009E0F34"/>
    <w:rsid w:val="009E323C"/>
    <w:rsid w:val="009E4C8D"/>
    <w:rsid w:val="009E6D64"/>
    <w:rsid w:val="009E6F96"/>
    <w:rsid w:val="00A1492D"/>
    <w:rsid w:val="00A21592"/>
    <w:rsid w:val="00A266CB"/>
    <w:rsid w:val="00A30E55"/>
    <w:rsid w:val="00A3134E"/>
    <w:rsid w:val="00A35273"/>
    <w:rsid w:val="00A379C0"/>
    <w:rsid w:val="00A60564"/>
    <w:rsid w:val="00A64DFA"/>
    <w:rsid w:val="00A65E0E"/>
    <w:rsid w:val="00A7307B"/>
    <w:rsid w:val="00A74A3C"/>
    <w:rsid w:val="00A80EA0"/>
    <w:rsid w:val="00A9698A"/>
    <w:rsid w:val="00AB396F"/>
    <w:rsid w:val="00AC615B"/>
    <w:rsid w:val="00AD2F5B"/>
    <w:rsid w:val="00AE65F3"/>
    <w:rsid w:val="00AF4A87"/>
    <w:rsid w:val="00B06FCE"/>
    <w:rsid w:val="00B21631"/>
    <w:rsid w:val="00B33949"/>
    <w:rsid w:val="00B33C08"/>
    <w:rsid w:val="00B33F69"/>
    <w:rsid w:val="00B45F17"/>
    <w:rsid w:val="00B51823"/>
    <w:rsid w:val="00B62D7C"/>
    <w:rsid w:val="00B6475C"/>
    <w:rsid w:val="00B7198A"/>
    <w:rsid w:val="00B83C17"/>
    <w:rsid w:val="00BA028E"/>
    <w:rsid w:val="00BA1298"/>
    <w:rsid w:val="00BB4974"/>
    <w:rsid w:val="00BC6A4C"/>
    <w:rsid w:val="00BE3299"/>
    <w:rsid w:val="00C055FB"/>
    <w:rsid w:val="00C07E3D"/>
    <w:rsid w:val="00C108C5"/>
    <w:rsid w:val="00C20A28"/>
    <w:rsid w:val="00C249AB"/>
    <w:rsid w:val="00C34BC6"/>
    <w:rsid w:val="00C429A3"/>
    <w:rsid w:val="00C5229D"/>
    <w:rsid w:val="00C63904"/>
    <w:rsid w:val="00C74E57"/>
    <w:rsid w:val="00C77D4D"/>
    <w:rsid w:val="00C86015"/>
    <w:rsid w:val="00C97AB6"/>
    <w:rsid w:val="00C97F50"/>
    <w:rsid w:val="00CC1E33"/>
    <w:rsid w:val="00CC3E47"/>
    <w:rsid w:val="00CE757B"/>
    <w:rsid w:val="00CF34A8"/>
    <w:rsid w:val="00CF68E8"/>
    <w:rsid w:val="00D007BD"/>
    <w:rsid w:val="00D04B6B"/>
    <w:rsid w:val="00D35EC5"/>
    <w:rsid w:val="00D51D9A"/>
    <w:rsid w:val="00D54B76"/>
    <w:rsid w:val="00D55EEA"/>
    <w:rsid w:val="00D62C81"/>
    <w:rsid w:val="00D70CC6"/>
    <w:rsid w:val="00D71D9E"/>
    <w:rsid w:val="00D75E94"/>
    <w:rsid w:val="00D8127B"/>
    <w:rsid w:val="00D836DF"/>
    <w:rsid w:val="00D904DC"/>
    <w:rsid w:val="00D92FAB"/>
    <w:rsid w:val="00DA7D8F"/>
    <w:rsid w:val="00DC0940"/>
    <w:rsid w:val="00DC4ADF"/>
    <w:rsid w:val="00DC5295"/>
    <w:rsid w:val="00DD569B"/>
    <w:rsid w:val="00DE5612"/>
    <w:rsid w:val="00E07CC8"/>
    <w:rsid w:val="00E17D1A"/>
    <w:rsid w:val="00E2381B"/>
    <w:rsid w:val="00E23A89"/>
    <w:rsid w:val="00E322A2"/>
    <w:rsid w:val="00E47D9F"/>
    <w:rsid w:val="00E47E8F"/>
    <w:rsid w:val="00E62278"/>
    <w:rsid w:val="00E73FFC"/>
    <w:rsid w:val="00E757C9"/>
    <w:rsid w:val="00E764D7"/>
    <w:rsid w:val="00E826C0"/>
    <w:rsid w:val="00E91573"/>
    <w:rsid w:val="00EA1A90"/>
    <w:rsid w:val="00EA4113"/>
    <w:rsid w:val="00EB61CE"/>
    <w:rsid w:val="00EC351F"/>
    <w:rsid w:val="00EC5DFB"/>
    <w:rsid w:val="00ED47F2"/>
    <w:rsid w:val="00ED5A05"/>
    <w:rsid w:val="00EE5931"/>
    <w:rsid w:val="00F109DA"/>
    <w:rsid w:val="00F204E1"/>
    <w:rsid w:val="00F35054"/>
    <w:rsid w:val="00F35FD9"/>
    <w:rsid w:val="00F36AD5"/>
    <w:rsid w:val="00F41015"/>
    <w:rsid w:val="00F4399A"/>
    <w:rsid w:val="00F46E51"/>
    <w:rsid w:val="00F52111"/>
    <w:rsid w:val="00F57BE5"/>
    <w:rsid w:val="00F6007E"/>
    <w:rsid w:val="00F60FAA"/>
    <w:rsid w:val="00F7520A"/>
    <w:rsid w:val="00F82B75"/>
    <w:rsid w:val="00F836EE"/>
    <w:rsid w:val="00F84026"/>
    <w:rsid w:val="00F940A8"/>
    <w:rsid w:val="00FA6E04"/>
    <w:rsid w:val="00FB1AC4"/>
    <w:rsid w:val="00FC5490"/>
    <w:rsid w:val="00FD25D0"/>
    <w:rsid w:val="00FD66B4"/>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7F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6B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537818598">
      <w:bodyDiv w:val="1"/>
      <w:marLeft w:val="0"/>
      <w:marRight w:val="0"/>
      <w:marTop w:val="0"/>
      <w:marBottom w:val="0"/>
      <w:divBdr>
        <w:top w:val="none" w:sz="0" w:space="0" w:color="auto"/>
        <w:left w:val="none" w:sz="0" w:space="0" w:color="auto"/>
        <w:bottom w:val="none" w:sz="0" w:space="0" w:color="auto"/>
        <w:right w:val="none" w:sz="0" w:space="0" w:color="auto"/>
      </w:divBdr>
      <w:divsChild>
        <w:div w:id="2055153804">
          <w:marLeft w:val="0"/>
          <w:marRight w:val="0"/>
          <w:marTop w:val="0"/>
          <w:marBottom w:val="0"/>
          <w:divBdr>
            <w:top w:val="none" w:sz="0" w:space="0" w:color="auto"/>
            <w:left w:val="none" w:sz="0" w:space="0" w:color="auto"/>
            <w:bottom w:val="none" w:sz="0" w:space="0" w:color="auto"/>
            <w:right w:val="none" w:sz="0" w:space="0" w:color="auto"/>
          </w:divBdr>
        </w:div>
      </w:divsChild>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523009112">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chancellor@leeds.ac.uk%C2%A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Madeley@adm.leeds.ac.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news/arms-trade-treaty-enters-into-force" TargetMode="External"/><Relationship Id="rId13" Type="http://schemas.openxmlformats.org/officeDocument/2006/relationships/hyperlink" Target="https://documents.un.org/doc/resolution/gen/nr0/399/71/pdf/nr039971.pdf" TargetMode="External"/><Relationship Id="rId18" Type="http://schemas.openxmlformats.org/officeDocument/2006/relationships/hyperlink" Target="https://www.hrw.org/news/2023/12/12/letter-uk-government-calling-immediate-halt-uk-arms-transfers-government-israel" TargetMode="External"/><Relationship Id="rId26" Type="http://schemas.openxmlformats.org/officeDocument/2006/relationships/hyperlink" Target="https://www.icc-cpi.int/news/statement-icc-prosecutor-karim-aa-khan-kc-applications-arrest-warrants-situation-state" TargetMode="External"/><Relationship Id="rId3" Type="http://schemas.openxmlformats.org/officeDocument/2006/relationships/hyperlink" Target="https://www.reuters.com/world/middle-east/gaza-death-toll-how-many-palestinians-has-israels-campaign-killed-2024-07-25/" TargetMode="External"/><Relationship Id="rId21" Type="http://schemas.openxmlformats.org/officeDocument/2006/relationships/hyperlink" Target="https://register-of-charities.charitycommission.gov.uk/charity-search/-/charity-details/4019048/governing-document" TargetMode="External"/><Relationship Id="rId7" Type="http://schemas.openxmlformats.org/officeDocument/2006/relationships/hyperlink" Target="https://www.yanisvaroufakis.eu/2023/10/15/list-of-war-crimes-and-crimes-qualifying-as-genocide-committed-by-israel-in-gaza-since-7th-october-2023/" TargetMode="External"/><Relationship Id="rId12" Type="http://schemas.openxmlformats.org/officeDocument/2006/relationships/hyperlink" Target="https://documents.un.org/doc/resolution/gen/nr0/370/60/pdf/nr037060.pdf" TargetMode="External"/><Relationship Id="rId17" Type="http://schemas.openxmlformats.org/officeDocument/2006/relationships/hyperlink" Target="https://www.ohchr.org/en/press-releases/2024/03/un-human-rights-chief-deplores-new-moves-expand-israeli-settlements-occupied" TargetMode="External"/><Relationship Id="rId25" Type="http://schemas.openxmlformats.org/officeDocument/2006/relationships/hyperlink" Target="https://www.icc-cpi.int/news/statement-icc-prosecutor-karim-aa-khan-kc-applications-arrest-warrants-situation-state" TargetMode="External"/><Relationship Id="rId2" Type="http://schemas.openxmlformats.org/officeDocument/2006/relationships/hyperlink" Target="https://secretariat.leeds.ac.uk/wp-content/uploads/sites/109/2023/07/socially_responsible_investment.pdf" TargetMode="External"/><Relationship Id="rId16" Type="http://schemas.openxmlformats.org/officeDocument/2006/relationships/hyperlink" Target="https://www.ohchr.org/en/press-releases/2024/03/un-human-rights-chief-deplores-new-moves-expand-israeli-settlements-occupied" TargetMode="External"/><Relationship Id="rId20" Type="http://schemas.openxmlformats.org/officeDocument/2006/relationships/hyperlink" Target="https://news.sky.com/video/evacuate-where-to-the-moon-13070316"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www.bsg.ox.ac.uk/sites/default/files/2019-11/BSG-WP-2019-031.pdf" TargetMode="External"/><Relationship Id="rId11" Type="http://schemas.openxmlformats.org/officeDocument/2006/relationships/hyperlink" Target="https://www.icj-cij.org/sites/default/files/case-related/192/192-20240126-ord-01-00-en.pdf" TargetMode="External"/><Relationship Id="rId24" Type="http://schemas.openxmlformats.org/officeDocument/2006/relationships/hyperlink" Target="https://www.ohchr.org/en/documents/country-reports/ahrc5573-report-special-rapporteur-situation-human-rights-palestinian" TargetMode="External"/><Relationship Id="rId5" Type="http://schemas.openxmlformats.org/officeDocument/2006/relationships/hyperlink" Target="https://lphr.org.uk/latest-news/lphr-legal-memo-on-starvation-of-civilians-in-gaza/" TargetMode="External"/><Relationship Id="rId15" Type="http://schemas.openxmlformats.org/officeDocument/2006/relationships/hyperlink" Target="https://www.ohchr.org/en/press-releases/2024/07/experts-hail-icj-declaration-illegality-israels-presence-occupied" TargetMode="External"/><Relationship Id="rId23" Type="http://schemas.openxmlformats.org/officeDocument/2006/relationships/hyperlink" Target="https://hansard.parliament.uk/commons/2023-12-12/debates/BF12F435-8E9A-44B0-AA34-ADA9D01616E0/ArmsExportLicencesIsrael" TargetMode="External"/><Relationship Id="rId28" Type="http://schemas.openxmlformats.org/officeDocument/2006/relationships/hyperlink" Target="https://x.com/BDSmovement/status/1825604919279210780" TargetMode="External"/><Relationship Id="rId10" Type="http://schemas.openxmlformats.org/officeDocument/2006/relationships/hyperlink" Target="https://www.icj-cij.org/sites/default/files/case-related/192/192-20240126-ord-01-00-en.pdf" TargetMode="External"/><Relationship Id="rId19" Type="http://schemas.openxmlformats.org/officeDocument/2006/relationships/hyperlink" Target="https://www.theguardian.com/world/2024/feb/25/gaza-death-toll-set-to-pass-30000-as-israel-prepares-assault-on-rafah" TargetMode="External"/><Relationship Id="rId4" Type="http://schemas.openxmlformats.org/officeDocument/2006/relationships/hyperlink" Target="https://www.thelancet.com/journals/lancet/article/PIIS0140-6736(24)01169-3/fulltext" TargetMode="External"/><Relationship Id="rId9" Type="http://schemas.openxmlformats.org/officeDocument/2006/relationships/hyperlink" Target="https://assets.publishing.service.gov.uk/media/5a7e0036ed915d74e33ef66e/WEB_TS_1.2015_Arms_Cm_8993.pdf" TargetMode="External"/><Relationship Id="rId14" Type="http://schemas.openxmlformats.org/officeDocument/2006/relationships/hyperlink" Target="https://www.un.org/webcast/pdfs/SRES2334-2016.pdf" TargetMode="External"/><Relationship Id="rId22" Type="http://schemas.openxmlformats.org/officeDocument/2006/relationships/hyperlink" Target="https://www.theguardian.com/world/2024/mar/30/uk-government-lawyers-say-israel-is-breaking-international-law-claims-top-tory-in-leaked-recording" TargetMode="External"/><Relationship Id="rId27" Type="http://schemas.openxmlformats.org/officeDocument/2006/relationships/hyperlink" Target="https://www.theguardian.com/world/article/2024/aug/18/foreign-office-official-quits-over-uk-refusal-to-ban-arms-exports-to-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KHAN, Kausar (DENTAK CARE AND SERVICES LIMITED)</cp:lastModifiedBy>
  <cp:revision>7</cp:revision>
  <cp:lastPrinted>2024-09-10T22:01:00Z</cp:lastPrinted>
  <dcterms:created xsi:type="dcterms:W3CDTF">2024-09-18T09:24:00Z</dcterms:created>
  <dcterms:modified xsi:type="dcterms:W3CDTF">2024-10-03T23:07:00Z</dcterms:modified>
</cp:coreProperties>
</file>