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D77A6" w14:textId="77777777" w:rsidR="00BB5BC3" w:rsidRDefault="00BB5BC3" w:rsidP="00BB5BC3">
      <w:pPr>
        <w:spacing w:after="0" w:line="240" w:lineRule="auto"/>
        <w:rPr>
          <w:rFonts w:ascii="Arial" w:hAnsi="Arial" w:cs="Arial"/>
          <w:b/>
          <w:bCs/>
          <w:kern w:val="0"/>
          <w14:ligatures w14:val="none"/>
        </w:rPr>
      </w:pPr>
    </w:p>
    <w:p w14:paraId="27DCACBF" w14:textId="77777777" w:rsidR="00BB5BC3" w:rsidRDefault="00BB5BC3" w:rsidP="00BB5BC3">
      <w:pPr>
        <w:spacing w:after="0" w:line="240" w:lineRule="auto"/>
        <w:rPr>
          <w:rFonts w:ascii="Arial" w:hAnsi="Arial" w:cs="Arial"/>
          <w:b/>
          <w:bCs/>
          <w:kern w:val="0"/>
          <w14:ligatures w14:val="none"/>
        </w:rPr>
      </w:pPr>
    </w:p>
    <w:p w14:paraId="2BC8EA57" w14:textId="77777777" w:rsidR="00BB5BC3" w:rsidRDefault="00BB5BC3" w:rsidP="00BB5BC3">
      <w:pPr>
        <w:spacing w:after="0" w:line="240" w:lineRule="auto"/>
        <w:rPr>
          <w:rFonts w:ascii="Arial" w:hAnsi="Arial" w:cs="Arial"/>
          <w:b/>
          <w:bCs/>
          <w:kern w:val="0"/>
          <w14:ligatures w14:val="none"/>
        </w:rPr>
      </w:pPr>
    </w:p>
    <w:p w14:paraId="5479E7F0" w14:textId="57DBF167" w:rsidR="00BB5BC3" w:rsidRDefault="00BB5BC3" w:rsidP="00BB5BC3">
      <w:pPr>
        <w:spacing w:after="0" w:line="240" w:lineRule="auto"/>
        <w:rPr>
          <w:rFonts w:ascii="Arial" w:hAnsi="Arial" w:cs="Arial"/>
          <w:b/>
          <w:bCs/>
          <w:kern w:val="0"/>
          <w14:ligatures w14:val="none"/>
        </w:rPr>
      </w:pPr>
      <w:r>
        <w:rPr>
          <w:rFonts w:ascii="Arial" w:hAnsi="Arial" w:cs="Arial"/>
          <w:b/>
          <w:bCs/>
          <w:kern w:val="0"/>
          <w14:ligatures w14:val="none"/>
        </w:rPr>
        <w:t xml:space="preserve">Chancellor, Nazir Afzal and the  </w:t>
      </w:r>
    </w:p>
    <w:p w14:paraId="63C3C71D" w14:textId="798E2936" w:rsidR="00BB5BC3" w:rsidRDefault="00BB5BC3" w:rsidP="00BB5BC3">
      <w:pPr>
        <w:spacing w:after="0" w:line="240" w:lineRule="auto"/>
        <w:rPr>
          <w:rFonts w:ascii="Arial" w:hAnsi="Arial" w:cs="Arial"/>
          <w:b/>
          <w:bCs/>
          <w:kern w:val="0"/>
          <w14:ligatures w14:val="none"/>
        </w:rPr>
      </w:pPr>
      <w:bookmarkStart w:id="0" w:name="_Hlk177536647"/>
      <w:r>
        <w:rPr>
          <w:rFonts w:ascii="Arial" w:hAnsi="Arial" w:cs="Arial"/>
          <w:b/>
          <w:bCs/>
          <w:kern w:val="0"/>
          <w14:ligatures w14:val="none"/>
        </w:rPr>
        <w:t>S</w:t>
      </w:r>
      <w:r w:rsidRPr="009B0A07">
        <w:rPr>
          <w:rFonts w:ascii="Arial" w:hAnsi="Arial" w:cs="Arial"/>
          <w:b/>
          <w:bCs/>
          <w:kern w:val="0"/>
          <w14:ligatures w14:val="none"/>
        </w:rPr>
        <w:t xml:space="preserve">enior Leadership team </w:t>
      </w:r>
      <w:r w:rsidRPr="000D2071">
        <w:rPr>
          <w:rFonts w:ascii="Arial" w:hAnsi="Arial" w:cs="Arial"/>
          <w:b/>
          <w:bCs/>
          <w:kern w:val="0"/>
          <w14:ligatures w14:val="none"/>
        </w:rPr>
        <w:br/>
        <w:t>John Owens Building</w:t>
      </w:r>
      <w:r w:rsidRPr="000D2071">
        <w:rPr>
          <w:rFonts w:ascii="Arial" w:hAnsi="Arial" w:cs="Arial"/>
          <w:b/>
          <w:bCs/>
          <w:kern w:val="0"/>
          <w14:ligatures w14:val="none"/>
        </w:rPr>
        <w:br/>
        <w:t>University of Manchester</w:t>
      </w:r>
      <w:r w:rsidRPr="000D2071">
        <w:rPr>
          <w:rFonts w:ascii="Arial" w:hAnsi="Arial" w:cs="Arial"/>
          <w:b/>
          <w:bCs/>
          <w:kern w:val="0"/>
          <w14:ligatures w14:val="none"/>
        </w:rPr>
        <w:br/>
        <w:t>Oxford R</w:t>
      </w:r>
      <w:r w:rsidR="00344B49">
        <w:rPr>
          <w:rFonts w:ascii="Arial" w:hAnsi="Arial" w:cs="Arial"/>
          <w:b/>
          <w:bCs/>
          <w:kern w:val="0"/>
          <w14:ligatures w14:val="none"/>
        </w:rPr>
        <w:t>oad</w:t>
      </w:r>
      <w:r w:rsidRPr="000D2071">
        <w:rPr>
          <w:rFonts w:ascii="Arial" w:hAnsi="Arial" w:cs="Arial"/>
          <w:b/>
          <w:bCs/>
          <w:kern w:val="0"/>
          <w14:ligatures w14:val="none"/>
        </w:rPr>
        <w:br/>
        <w:t>Manchester</w:t>
      </w:r>
      <w:r w:rsidRPr="000D2071">
        <w:rPr>
          <w:rFonts w:ascii="Arial" w:hAnsi="Arial" w:cs="Arial"/>
          <w:b/>
          <w:bCs/>
          <w:kern w:val="0"/>
          <w14:ligatures w14:val="none"/>
        </w:rPr>
        <w:br/>
        <w:t>M13 9PL</w:t>
      </w:r>
    </w:p>
    <w:p w14:paraId="68BA9713" w14:textId="77777777" w:rsidR="00BB5BC3" w:rsidRPr="000D2071" w:rsidRDefault="00BB5BC3" w:rsidP="00BB5BC3">
      <w:pPr>
        <w:spacing w:after="0" w:line="240" w:lineRule="auto"/>
        <w:rPr>
          <w:rFonts w:ascii="Arial" w:hAnsi="Arial" w:cs="Arial"/>
          <w:b/>
          <w:bCs/>
          <w:kern w:val="0"/>
          <w14:ligatures w14:val="none"/>
        </w:rPr>
      </w:pPr>
    </w:p>
    <w:p w14:paraId="59429130" w14:textId="77777777" w:rsidR="00BB5BC3" w:rsidRDefault="00BB5BC3" w:rsidP="00BB5BC3">
      <w:pPr>
        <w:spacing w:after="0" w:line="240" w:lineRule="auto"/>
        <w:rPr>
          <w:rStyle w:val="Hyperlink"/>
          <w:rFonts w:ascii="Arial" w:hAnsi="Arial" w:cs="Arial"/>
          <w:kern w:val="0"/>
          <w14:ligatures w14:val="none"/>
        </w:rPr>
      </w:pPr>
      <w:r w:rsidRPr="009B0A07">
        <w:rPr>
          <w:rFonts w:ascii="Arial" w:hAnsi="Arial" w:cs="Arial"/>
          <w:b/>
          <w:bCs/>
          <w:kern w:val="0"/>
          <w14:ligatures w14:val="none"/>
        </w:rPr>
        <w:t>By email only</w:t>
      </w:r>
      <w:r w:rsidRPr="006F6E00">
        <w:rPr>
          <w:rFonts w:ascii="Arial" w:hAnsi="Arial" w:cs="Arial"/>
          <w:kern w:val="0"/>
          <w14:ligatures w14:val="none"/>
        </w:rPr>
        <w:t xml:space="preserve">: </w:t>
      </w:r>
      <w:hyperlink r:id="rId8" w:history="1">
        <w:r w:rsidRPr="00D62C81">
          <w:rPr>
            <w:rStyle w:val="Hyperlink"/>
            <w:rFonts w:ascii="Arial" w:hAnsi="Arial" w:cs="Arial"/>
            <w:kern w:val="0"/>
            <w14:ligatures w14:val="none"/>
          </w:rPr>
          <w:t>president@manchester.ac.uk</w:t>
        </w:r>
      </w:hyperlink>
    </w:p>
    <w:p w14:paraId="69C8BDBE" w14:textId="77777777" w:rsidR="00BB5BC3" w:rsidRDefault="00BB5BC3" w:rsidP="00BB5BC3">
      <w:pPr>
        <w:spacing w:after="0" w:line="240" w:lineRule="auto"/>
        <w:rPr>
          <w:rFonts w:ascii="Arial" w:hAnsi="Arial" w:cs="Arial"/>
          <w:kern w:val="0"/>
          <w14:ligatures w14:val="none"/>
        </w:rPr>
      </w:pPr>
      <w:r>
        <w:rPr>
          <w:rFonts w:ascii="Arial" w:hAnsi="Arial" w:cs="Arial"/>
          <w:kern w:val="0"/>
          <w14:ligatures w14:val="none"/>
        </w:rPr>
        <w:t xml:space="preserve">                         </w:t>
      </w:r>
      <w:hyperlink r:id="rId9" w:history="1">
        <w:r w:rsidRPr="008A1D67">
          <w:rPr>
            <w:rStyle w:val="Hyperlink"/>
            <w:rFonts w:ascii="Arial" w:hAnsi="Arial" w:cs="Arial"/>
            <w:kern w:val="0"/>
            <w14:ligatures w14:val="none"/>
          </w:rPr>
          <w:t>duncan.ivison@manchester.ac.uk</w:t>
        </w:r>
      </w:hyperlink>
      <w:r>
        <w:rPr>
          <w:rFonts w:ascii="Arial" w:hAnsi="Arial" w:cs="Arial"/>
          <w:kern w:val="0"/>
          <w14:ligatures w14:val="none"/>
        </w:rPr>
        <w:t xml:space="preserve"> </w:t>
      </w:r>
    </w:p>
    <w:p w14:paraId="55242406" w14:textId="77777777" w:rsidR="00BB5BC3" w:rsidRDefault="00BB5BC3" w:rsidP="00BB5BC3">
      <w:pPr>
        <w:spacing w:after="0" w:line="240" w:lineRule="auto"/>
        <w:rPr>
          <w:rFonts w:ascii="Arial" w:hAnsi="Arial" w:cs="Arial"/>
          <w:kern w:val="0"/>
          <w14:ligatures w14:val="none"/>
        </w:rPr>
      </w:pPr>
      <w:r>
        <w:rPr>
          <w:rFonts w:ascii="Arial" w:hAnsi="Arial" w:cs="Arial"/>
          <w:kern w:val="0"/>
          <w14:ligatures w14:val="none"/>
        </w:rPr>
        <w:tab/>
      </w:r>
      <w:r>
        <w:rPr>
          <w:rFonts w:ascii="Arial" w:hAnsi="Arial" w:cs="Arial"/>
          <w:kern w:val="0"/>
          <w14:ligatures w14:val="none"/>
        </w:rPr>
        <w:tab/>
        <w:t xml:space="preserve"> </w:t>
      </w:r>
      <w:hyperlink r:id="rId10" w:history="1">
        <w:r w:rsidRPr="008A1D67">
          <w:rPr>
            <w:rStyle w:val="Hyperlink"/>
            <w:rFonts w:ascii="Arial" w:hAnsi="Arial" w:cs="Arial"/>
            <w:kern w:val="0"/>
            <w14:ligatures w14:val="none"/>
          </w:rPr>
          <w:t>n.thakkar@manchester.ac.uk</w:t>
        </w:r>
      </w:hyperlink>
    </w:p>
    <w:p w14:paraId="6686D9A3" w14:textId="77777777" w:rsidR="00BB5BC3" w:rsidRDefault="00BB5BC3" w:rsidP="00BB5BC3">
      <w:pPr>
        <w:spacing w:after="0" w:line="240" w:lineRule="auto"/>
        <w:rPr>
          <w:rFonts w:ascii="Arial" w:hAnsi="Arial" w:cs="Arial"/>
          <w:kern w:val="0"/>
          <w14:ligatures w14:val="none"/>
        </w:rPr>
      </w:pPr>
      <w:r>
        <w:rPr>
          <w:rFonts w:ascii="Arial" w:hAnsi="Arial" w:cs="Arial"/>
          <w:kern w:val="0"/>
          <w14:ligatures w14:val="none"/>
        </w:rPr>
        <w:tab/>
      </w:r>
      <w:r>
        <w:rPr>
          <w:rFonts w:ascii="Arial" w:hAnsi="Arial" w:cs="Arial"/>
          <w:kern w:val="0"/>
          <w14:ligatures w14:val="none"/>
        </w:rPr>
        <w:tab/>
        <w:t xml:space="preserve"> </w:t>
      </w:r>
      <w:hyperlink r:id="rId11" w:history="1">
        <w:r w:rsidRPr="008A1D67">
          <w:rPr>
            <w:rStyle w:val="Hyperlink"/>
            <w:rFonts w:ascii="Arial" w:hAnsi="Arial" w:cs="Arial"/>
            <w:kern w:val="0"/>
            <w14:ligatures w14:val="none"/>
          </w:rPr>
          <w:t>carol.prokopyszyn@manchester.ac.uk</w:t>
        </w:r>
      </w:hyperlink>
    </w:p>
    <w:p w14:paraId="5E582BCA" w14:textId="77777777" w:rsidR="00BB5BC3" w:rsidRPr="006F6E00" w:rsidRDefault="00BB5BC3" w:rsidP="00BB5BC3">
      <w:pPr>
        <w:spacing w:after="0" w:line="240" w:lineRule="auto"/>
        <w:rPr>
          <w:rFonts w:ascii="Arial" w:hAnsi="Arial" w:cs="Arial"/>
          <w:kern w:val="0"/>
          <w14:ligatures w14:val="none"/>
        </w:rPr>
      </w:pPr>
      <w:r>
        <w:rPr>
          <w:rFonts w:ascii="Arial" w:hAnsi="Arial" w:cs="Arial"/>
          <w:kern w:val="0"/>
          <w14:ligatures w14:val="none"/>
        </w:rPr>
        <w:t xml:space="preserve">                         </w:t>
      </w:r>
      <w:hyperlink r:id="rId12" w:history="1">
        <w:r w:rsidRPr="008A1D67">
          <w:rPr>
            <w:rStyle w:val="Hyperlink"/>
            <w:rFonts w:ascii="Arial" w:hAnsi="Arial" w:cs="Arial"/>
            <w:kern w:val="0"/>
            <w14:ligatures w14:val="none"/>
          </w:rPr>
          <w:t>claire.francis@manchester.ac.uk</w:t>
        </w:r>
      </w:hyperlink>
      <w:r>
        <w:rPr>
          <w:rFonts w:ascii="Arial" w:hAnsi="Arial" w:cs="Arial"/>
          <w:kern w:val="0"/>
          <w14:ligatures w14:val="none"/>
        </w:rPr>
        <w:t xml:space="preserve"> </w:t>
      </w:r>
    </w:p>
    <w:p w14:paraId="7794BB99" w14:textId="77777777" w:rsidR="00BB5BC3" w:rsidRPr="006F6E00" w:rsidRDefault="00BB5BC3" w:rsidP="00BB5BC3">
      <w:pPr>
        <w:spacing w:after="0" w:line="240" w:lineRule="auto"/>
        <w:ind w:left="1440"/>
        <w:rPr>
          <w:rFonts w:ascii="Arial" w:hAnsi="Arial" w:cs="Arial"/>
        </w:rPr>
      </w:pPr>
      <w:r w:rsidRPr="006F6E00">
        <w:rPr>
          <w:rFonts w:ascii="Arial" w:hAnsi="Arial" w:cs="Arial"/>
          <w:kern w:val="0"/>
          <w14:ligatures w14:val="none"/>
        </w:rPr>
        <w:t xml:space="preserve"> </w:t>
      </w:r>
      <w:r>
        <w:rPr>
          <w:rFonts w:ascii="Arial" w:hAnsi="Arial" w:cs="Arial"/>
          <w:kern w:val="0"/>
          <w14:ligatures w14:val="none"/>
        </w:rPr>
        <w:t xml:space="preserve"> </w:t>
      </w:r>
    </w:p>
    <w:bookmarkEnd w:id="0"/>
    <w:p w14:paraId="57CAFFB1" w14:textId="77777777" w:rsidR="00F109DA" w:rsidRDefault="00F109DA" w:rsidP="00855624">
      <w:pPr>
        <w:spacing w:line="276" w:lineRule="auto"/>
        <w:rPr>
          <w:rStyle w:val="fn"/>
          <w:rFonts w:ascii="Arial" w:hAnsi="Arial" w:cs="Arial"/>
          <w:b/>
          <w:bCs/>
          <w:color w:val="0B0C0C"/>
          <w:sz w:val="24"/>
          <w:szCs w:val="24"/>
          <w:shd w:val="clear" w:color="auto" w:fill="FFFFFF"/>
        </w:rPr>
      </w:pPr>
    </w:p>
    <w:p w14:paraId="744E3212" w14:textId="77777777" w:rsidR="00B230F2" w:rsidRDefault="00B230F2" w:rsidP="001C17D9">
      <w:pPr>
        <w:spacing w:after="0" w:line="240" w:lineRule="auto"/>
        <w:rPr>
          <w:rFonts w:ascii="Arial" w:hAnsi="Arial" w:cs="Arial"/>
          <w:b/>
          <w:bCs/>
          <w:kern w:val="0"/>
          <w14:ligatures w14:val="none"/>
        </w:rPr>
      </w:pPr>
    </w:p>
    <w:p w14:paraId="296DA046" w14:textId="18F79B7E" w:rsidR="007E245C" w:rsidRPr="00172570" w:rsidRDefault="00475F43" w:rsidP="00475F43">
      <w:pPr>
        <w:jc w:val="center"/>
        <w:rPr>
          <w:rFonts w:ascii="Arial" w:hAnsi="Arial" w:cs="Arial"/>
        </w:rPr>
      </w:pPr>
      <w:r w:rsidRPr="00067513">
        <w:rPr>
          <w:rFonts w:ascii="Arial" w:hAnsi="Arial" w:cs="Arial"/>
        </w:rPr>
        <w:t xml:space="preserve">                                                             </w:t>
      </w:r>
      <w:r w:rsidR="002148B9" w:rsidRPr="00067513">
        <w:rPr>
          <w:rFonts w:ascii="Arial" w:hAnsi="Arial" w:cs="Arial"/>
        </w:rPr>
        <w:t xml:space="preserve">       </w:t>
      </w:r>
      <w:r w:rsidR="005A5F0C" w:rsidRPr="00067513">
        <w:rPr>
          <w:rFonts w:ascii="Arial" w:hAnsi="Arial" w:cs="Arial"/>
        </w:rPr>
        <w:t xml:space="preserve">     </w:t>
      </w:r>
      <w:r w:rsidRPr="00067513">
        <w:rPr>
          <w:rFonts w:ascii="Arial" w:hAnsi="Arial" w:cs="Arial"/>
        </w:rPr>
        <w:t xml:space="preserve">   </w:t>
      </w:r>
      <w:r w:rsidR="007E245C" w:rsidRPr="00067513">
        <w:rPr>
          <w:rFonts w:ascii="Arial" w:hAnsi="Arial" w:cs="Arial"/>
        </w:rPr>
        <w:t>DATE</w:t>
      </w:r>
      <w:r w:rsidR="00AF37FC" w:rsidRPr="00067513">
        <w:rPr>
          <w:rFonts w:ascii="Arial" w:hAnsi="Arial" w:cs="Arial"/>
        </w:rPr>
        <w:t>:</w:t>
      </w:r>
    </w:p>
    <w:p w14:paraId="74C5FD05" w14:textId="5D2ADA95" w:rsidR="007E245C" w:rsidRPr="00172570" w:rsidRDefault="007E245C">
      <w:pPr>
        <w:rPr>
          <w:rFonts w:ascii="Arial" w:hAnsi="Arial" w:cs="Arial"/>
        </w:rPr>
      </w:pPr>
      <w:r w:rsidRPr="00172570">
        <w:rPr>
          <w:rFonts w:ascii="Arial" w:hAnsi="Arial" w:cs="Arial"/>
        </w:rPr>
        <w:t xml:space="preserve">Dear </w:t>
      </w:r>
      <w:r w:rsidR="00BB5BC3">
        <w:rPr>
          <w:rFonts w:ascii="Arial" w:hAnsi="Arial" w:cs="Arial"/>
        </w:rPr>
        <w:t xml:space="preserve">Chancellor Afzal, </w:t>
      </w:r>
      <w:r w:rsidR="00922367">
        <w:rPr>
          <w:rFonts w:ascii="Arial" w:hAnsi="Arial" w:cs="Arial"/>
        </w:rPr>
        <w:t xml:space="preserve"> </w:t>
      </w:r>
      <w:r w:rsidR="009349E2">
        <w:rPr>
          <w:rFonts w:ascii="Arial" w:hAnsi="Arial" w:cs="Arial"/>
        </w:rPr>
        <w:t xml:space="preserve"> </w:t>
      </w:r>
    </w:p>
    <w:p w14:paraId="5674DA9B" w14:textId="51A50A8F" w:rsidR="000A3482" w:rsidRPr="00172570" w:rsidRDefault="00DC5295" w:rsidP="006C59BB">
      <w:pPr>
        <w:jc w:val="both"/>
        <w:rPr>
          <w:rFonts w:ascii="Arial" w:eastAsia="Times New Roman" w:hAnsi="Arial" w:cs="Arial"/>
          <w:b/>
          <w:bCs/>
          <w:color w:val="000000"/>
          <w:kern w:val="0"/>
          <w:lang w:eastAsia="en-GB"/>
          <w14:ligatures w14:val="none"/>
        </w:rPr>
      </w:pPr>
      <w:r w:rsidRPr="00172570">
        <w:rPr>
          <w:rFonts w:ascii="Arial" w:hAnsi="Arial" w:cs="Arial"/>
          <w:b/>
          <w:bCs/>
        </w:rPr>
        <w:t xml:space="preserve">RE:   </w:t>
      </w:r>
      <w:r w:rsidR="00A9698A" w:rsidRPr="00172570">
        <w:rPr>
          <w:rFonts w:ascii="Arial" w:eastAsia="Times New Roman" w:hAnsi="Arial" w:cs="Arial"/>
          <w:b/>
          <w:bCs/>
          <w:color w:val="000000"/>
          <w:kern w:val="0"/>
          <w:lang w:eastAsia="en-GB"/>
          <w14:ligatures w14:val="none"/>
        </w:rPr>
        <w:t xml:space="preserve">DEMAND FOR REFUND OF </w:t>
      </w:r>
      <w:r w:rsidR="002F396F">
        <w:rPr>
          <w:rFonts w:ascii="Arial" w:eastAsia="Times New Roman" w:hAnsi="Arial" w:cs="Arial"/>
          <w:b/>
          <w:bCs/>
          <w:color w:val="000000"/>
          <w:kern w:val="0"/>
          <w:lang w:eastAsia="en-GB"/>
          <w14:ligatures w14:val="none"/>
        </w:rPr>
        <w:t xml:space="preserve">TUITION FEES </w:t>
      </w:r>
      <w:r w:rsidR="00A9698A" w:rsidRPr="00172570">
        <w:rPr>
          <w:rFonts w:ascii="Arial" w:eastAsia="Times New Roman" w:hAnsi="Arial" w:cs="Arial"/>
          <w:b/>
          <w:bCs/>
          <w:color w:val="000000"/>
          <w:kern w:val="0"/>
          <w:lang w:eastAsia="en-GB"/>
          <w14:ligatures w14:val="none"/>
        </w:rPr>
        <w:t xml:space="preserve">PAID </w:t>
      </w:r>
    </w:p>
    <w:p w14:paraId="246937A1" w14:textId="19DDA301" w:rsidR="004D594B" w:rsidRDefault="006F7358" w:rsidP="006C59BB">
      <w:pPr>
        <w:jc w:val="both"/>
        <w:rPr>
          <w:rFonts w:ascii="Arial" w:hAnsi="Arial" w:cs="Arial"/>
        </w:rPr>
      </w:pPr>
      <w:proofErr w:type="gramStart"/>
      <w:r w:rsidRPr="00172570">
        <w:rPr>
          <w:rFonts w:ascii="Arial" w:hAnsi="Arial" w:cs="Arial"/>
        </w:rPr>
        <w:t xml:space="preserve">I, </w:t>
      </w:r>
      <w:r w:rsidR="00AF37FC" w:rsidRPr="00067513">
        <w:rPr>
          <w:rFonts w:ascii="Arial" w:hAnsi="Arial" w:cs="Arial"/>
        </w:rPr>
        <w:t xml:space="preserve">  </w:t>
      </w:r>
      <w:proofErr w:type="gramEnd"/>
      <w:r w:rsidR="00AF37FC" w:rsidRPr="00067513">
        <w:rPr>
          <w:rFonts w:ascii="Arial" w:hAnsi="Arial" w:cs="Arial"/>
        </w:rPr>
        <w:t xml:space="preserve">                    </w:t>
      </w:r>
      <w:r w:rsidR="00067513">
        <w:rPr>
          <w:rFonts w:ascii="Arial" w:hAnsi="Arial" w:cs="Arial"/>
        </w:rPr>
        <w:t xml:space="preserve">                        </w:t>
      </w:r>
      <w:r w:rsidRPr="00067513">
        <w:rPr>
          <w:rFonts w:ascii="Arial" w:hAnsi="Arial" w:cs="Arial"/>
        </w:rPr>
        <w:t>, hereby</w:t>
      </w:r>
      <w:r w:rsidRPr="00172570">
        <w:rPr>
          <w:rFonts w:ascii="Arial" w:hAnsi="Arial" w:cs="Arial"/>
        </w:rPr>
        <w:t xml:space="preserve"> place you on notice that I </w:t>
      </w:r>
      <w:r w:rsidR="00056BE1">
        <w:rPr>
          <w:rFonts w:ascii="Arial" w:hAnsi="Arial" w:cs="Arial"/>
        </w:rPr>
        <w:t xml:space="preserve">request a refund of my </w:t>
      </w:r>
      <w:r w:rsidR="00177C7D" w:rsidRPr="00172570">
        <w:rPr>
          <w:rFonts w:ascii="Arial" w:hAnsi="Arial" w:cs="Arial"/>
        </w:rPr>
        <w:t>t</w:t>
      </w:r>
      <w:r w:rsidR="003F7354">
        <w:rPr>
          <w:rFonts w:ascii="Arial" w:hAnsi="Arial" w:cs="Arial"/>
        </w:rPr>
        <w:t>uition fees</w:t>
      </w:r>
      <w:r w:rsidR="004D594B">
        <w:rPr>
          <w:rFonts w:ascii="Arial" w:hAnsi="Arial" w:cs="Arial"/>
        </w:rPr>
        <w:t xml:space="preserve"> </w:t>
      </w:r>
      <w:r w:rsidRPr="00172570">
        <w:rPr>
          <w:rFonts w:ascii="Arial" w:hAnsi="Arial" w:cs="Arial"/>
        </w:rPr>
        <w:t xml:space="preserve">as </w:t>
      </w:r>
      <w:r w:rsidR="00ED47F2">
        <w:rPr>
          <w:rFonts w:ascii="Arial" w:hAnsi="Arial" w:cs="Arial"/>
        </w:rPr>
        <w:t xml:space="preserve">a result of the </w:t>
      </w:r>
      <w:r w:rsidR="00056BE1">
        <w:rPr>
          <w:rFonts w:ascii="Arial" w:hAnsi="Arial" w:cs="Arial"/>
        </w:rPr>
        <w:t>University</w:t>
      </w:r>
      <w:r w:rsidR="00ED47F2">
        <w:rPr>
          <w:rFonts w:ascii="Arial" w:hAnsi="Arial" w:cs="Arial"/>
        </w:rPr>
        <w:t xml:space="preserve">’s </w:t>
      </w:r>
      <w:r w:rsidRPr="00172570">
        <w:rPr>
          <w:rFonts w:ascii="Arial" w:hAnsi="Arial" w:cs="Arial"/>
        </w:rPr>
        <w:t>complicity in Israel’s</w:t>
      </w:r>
      <w:r w:rsidR="004D594B">
        <w:rPr>
          <w:rFonts w:ascii="Arial" w:hAnsi="Arial" w:cs="Arial"/>
        </w:rPr>
        <w:t xml:space="preserve"> occupation of </w:t>
      </w:r>
      <w:r w:rsidR="00ED47F2" w:rsidRPr="00ED47F2">
        <w:rPr>
          <w:rFonts w:ascii="Arial" w:hAnsi="Arial" w:cs="Arial"/>
        </w:rPr>
        <w:t xml:space="preserve">the West Bank </w:t>
      </w:r>
      <w:r w:rsidR="00ED47F2">
        <w:rPr>
          <w:rFonts w:ascii="Arial" w:hAnsi="Arial" w:cs="Arial"/>
        </w:rPr>
        <w:t xml:space="preserve">and </w:t>
      </w:r>
      <w:r w:rsidR="004D594B">
        <w:rPr>
          <w:rFonts w:ascii="Arial" w:hAnsi="Arial" w:cs="Arial"/>
        </w:rPr>
        <w:t xml:space="preserve">Gaza </w:t>
      </w:r>
      <w:r w:rsidR="00ED47F2">
        <w:rPr>
          <w:rFonts w:ascii="Arial" w:hAnsi="Arial" w:cs="Arial"/>
        </w:rPr>
        <w:t xml:space="preserve">referred to as the </w:t>
      </w:r>
      <w:r w:rsidR="00ED47F2" w:rsidRPr="00ED47F2">
        <w:rPr>
          <w:rFonts w:ascii="Arial" w:hAnsi="Arial" w:cs="Arial"/>
        </w:rPr>
        <w:t>‘Occupied Palestinian Territories’</w:t>
      </w:r>
      <w:r w:rsidR="00ED47F2">
        <w:rPr>
          <w:rFonts w:ascii="Arial" w:hAnsi="Arial" w:cs="Arial"/>
        </w:rPr>
        <w:t xml:space="preserve"> (“OPT”) and now </w:t>
      </w:r>
      <w:r w:rsidR="005F10C4">
        <w:rPr>
          <w:rFonts w:ascii="Arial" w:hAnsi="Arial" w:cs="Arial"/>
        </w:rPr>
        <w:t>it’s</w:t>
      </w:r>
      <w:r w:rsidR="00ED47F2">
        <w:rPr>
          <w:rFonts w:ascii="Arial" w:hAnsi="Arial" w:cs="Arial"/>
        </w:rPr>
        <w:t xml:space="preserve"> </w:t>
      </w:r>
      <w:r w:rsidRPr="00172570">
        <w:rPr>
          <w:rFonts w:ascii="Arial" w:hAnsi="Arial" w:cs="Arial"/>
        </w:rPr>
        <w:t>‘plausible’ genocide of the Palestinians in Gaza.</w:t>
      </w:r>
      <w:r w:rsidRPr="00172570">
        <w:rPr>
          <w:rStyle w:val="FootnoteReference"/>
          <w:rFonts w:ascii="Arial" w:hAnsi="Arial" w:cs="Arial"/>
        </w:rPr>
        <w:footnoteReference w:id="1"/>
      </w:r>
      <w:r w:rsidRPr="00172570">
        <w:rPr>
          <w:rFonts w:ascii="Arial" w:hAnsi="Arial" w:cs="Arial"/>
        </w:rPr>
        <w:t xml:space="preserve"> </w:t>
      </w:r>
    </w:p>
    <w:p w14:paraId="4A3D5410" w14:textId="41DAB9FD" w:rsidR="005F10C4" w:rsidRDefault="00ED47F2" w:rsidP="005F10C4">
      <w:pPr>
        <w:jc w:val="both"/>
        <w:rPr>
          <w:rFonts w:ascii="Arial" w:hAnsi="Arial" w:cs="Arial"/>
        </w:rPr>
      </w:pPr>
      <w:r>
        <w:rPr>
          <w:rFonts w:ascii="Arial" w:hAnsi="Arial" w:cs="Arial"/>
        </w:rPr>
        <w:t>I was not informed prior to my joining the University’s degree program</w:t>
      </w:r>
      <w:r w:rsidR="000F3894">
        <w:rPr>
          <w:rFonts w:ascii="Arial" w:hAnsi="Arial" w:cs="Arial"/>
        </w:rPr>
        <w:t>me</w:t>
      </w:r>
      <w:r>
        <w:rPr>
          <w:rFonts w:ascii="Arial" w:hAnsi="Arial" w:cs="Arial"/>
        </w:rPr>
        <w:t xml:space="preserve"> that the University was profiteering from Israel’s illegal occupation, crimes against humanity and now Israel’s genocide of the Palestinians. The University failed to provide </w:t>
      </w:r>
      <w:r w:rsidR="00F60FAA">
        <w:rPr>
          <w:rFonts w:ascii="Arial" w:hAnsi="Arial" w:cs="Arial"/>
        </w:rPr>
        <w:t>frank</w:t>
      </w:r>
      <w:r>
        <w:rPr>
          <w:rFonts w:ascii="Arial" w:hAnsi="Arial" w:cs="Arial"/>
        </w:rPr>
        <w:t xml:space="preserve"> disclosure to me that my tuition fees were contributing to Israel’s illegal occupation </w:t>
      </w:r>
      <w:r w:rsidR="005F10C4">
        <w:rPr>
          <w:rFonts w:ascii="Arial" w:hAnsi="Arial" w:cs="Arial"/>
        </w:rPr>
        <w:t xml:space="preserve">and Israeli’s widely accepted war crimes against the Palestinians. </w:t>
      </w:r>
      <w:r w:rsidR="005F10C4" w:rsidRPr="00172570">
        <w:rPr>
          <w:rFonts w:ascii="Arial" w:hAnsi="Arial" w:cs="Arial"/>
        </w:rPr>
        <w:t>Israel’s military actions in Gaza is extremely distressing and wholly unacceptable.</w:t>
      </w:r>
      <w:r w:rsidR="005F10C4">
        <w:rPr>
          <w:rFonts w:ascii="Arial" w:hAnsi="Arial" w:cs="Arial"/>
        </w:rPr>
        <w:t xml:space="preserve"> If I had known that my </w:t>
      </w:r>
      <w:r w:rsidR="002B2D97">
        <w:rPr>
          <w:rFonts w:ascii="Arial" w:hAnsi="Arial" w:cs="Arial"/>
        </w:rPr>
        <w:t>university</w:t>
      </w:r>
      <w:r w:rsidR="005F10C4">
        <w:rPr>
          <w:rFonts w:ascii="Arial" w:hAnsi="Arial" w:cs="Arial"/>
        </w:rPr>
        <w:t xml:space="preserve"> </w:t>
      </w:r>
      <w:r w:rsidR="002B2D97">
        <w:rPr>
          <w:rFonts w:ascii="Arial" w:hAnsi="Arial" w:cs="Arial"/>
        </w:rPr>
        <w:t>is</w:t>
      </w:r>
      <w:r w:rsidR="005F10C4">
        <w:rPr>
          <w:rFonts w:ascii="Arial" w:hAnsi="Arial" w:cs="Arial"/>
        </w:rPr>
        <w:t xml:space="preserve"> complicit in Israel’s illegal occupation, it is likely that I </w:t>
      </w:r>
      <w:r w:rsidR="008C344D">
        <w:rPr>
          <w:rFonts w:ascii="Arial" w:hAnsi="Arial" w:cs="Arial"/>
        </w:rPr>
        <w:t>will</w:t>
      </w:r>
      <w:r w:rsidR="005F10C4">
        <w:rPr>
          <w:rFonts w:ascii="Arial" w:hAnsi="Arial" w:cs="Arial"/>
        </w:rPr>
        <w:t xml:space="preserve"> have selected an alternative University</w:t>
      </w:r>
      <w:r w:rsidR="00E07CC8">
        <w:rPr>
          <w:rFonts w:ascii="Arial" w:hAnsi="Arial" w:cs="Arial"/>
        </w:rPr>
        <w:t xml:space="preserve"> or asked the University to end its complicity prior to accepting the course. There was no </w:t>
      </w:r>
      <w:r w:rsidR="005F10C4">
        <w:rPr>
          <w:rFonts w:ascii="Arial" w:hAnsi="Arial" w:cs="Arial"/>
        </w:rPr>
        <w:t>informed consent so I am absolutely appalled to now learn that I am unconsciously complicit in Israel</w:t>
      </w:r>
      <w:r w:rsidR="00E07CC8">
        <w:rPr>
          <w:rFonts w:ascii="Arial" w:hAnsi="Arial" w:cs="Arial"/>
        </w:rPr>
        <w:t>’s</w:t>
      </w:r>
      <w:r w:rsidR="005F10C4">
        <w:rPr>
          <w:rFonts w:ascii="Arial" w:hAnsi="Arial" w:cs="Arial"/>
        </w:rPr>
        <w:t xml:space="preserve"> war crimes.  </w:t>
      </w:r>
      <w:bookmarkStart w:id="1" w:name="_Hlk175496728"/>
      <w:r w:rsidR="005F10C4" w:rsidRPr="00172570">
        <w:rPr>
          <w:rFonts w:ascii="Arial" w:hAnsi="Arial" w:cs="Arial"/>
        </w:rPr>
        <w:t xml:space="preserve">My account details </w:t>
      </w:r>
      <w:r w:rsidR="005F10C4">
        <w:rPr>
          <w:rFonts w:ascii="Arial" w:hAnsi="Arial" w:cs="Arial"/>
        </w:rPr>
        <w:t xml:space="preserve">have been set out for you at the </w:t>
      </w:r>
      <w:r w:rsidR="005F10C4" w:rsidRPr="00172570">
        <w:rPr>
          <w:rFonts w:ascii="Arial" w:hAnsi="Arial" w:cs="Arial"/>
        </w:rPr>
        <w:t xml:space="preserve">end of this Notice.  </w:t>
      </w:r>
    </w:p>
    <w:p w14:paraId="39A1B5CB" w14:textId="3BE1149A" w:rsidR="00D836A9" w:rsidRDefault="007C7EC2" w:rsidP="005F10C4">
      <w:pPr>
        <w:jc w:val="both"/>
        <w:rPr>
          <w:rFonts w:ascii="Arial" w:hAnsi="Arial" w:cs="Arial"/>
          <w:u w:val="single"/>
        </w:rPr>
      </w:pPr>
      <w:r>
        <w:rPr>
          <w:rFonts w:ascii="Arial" w:hAnsi="Arial" w:cs="Arial"/>
          <w:u w:val="single"/>
        </w:rPr>
        <w:t>University of</w:t>
      </w:r>
      <w:r w:rsidR="001C17D9">
        <w:rPr>
          <w:rFonts w:ascii="Arial" w:hAnsi="Arial" w:cs="Arial"/>
          <w:u w:val="single"/>
        </w:rPr>
        <w:t xml:space="preserve"> </w:t>
      </w:r>
      <w:r w:rsidR="00BB5BC3">
        <w:rPr>
          <w:rFonts w:ascii="Arial" w:hAnsi="Arial" w:cs="Arial"/>
          <w:u w:val="single"/>
        </w:rPr>
        <w:t>Manchester</w:t>
      </w:r>
      <w:r w:rsidR="001C17D9">
        <w:rPr>
          <w:rFonts w:ascii="Arial" w:hAnsi="Arial" w:cs="Arial"/>
          <w:u w:val="single"/>
        </w:rPr>
        <w:t xml:space="preserve"> I</w:t>
      </w:r>
      <w:r w:rsidR="00D836A9" w:rsidRPr="00D836A9">
        <w:rPr>
          <w:rFonts w:ascii="Arial" w:hAnsi="Arial" w:cs="Arial"/>
          <w:u w:val="single"/>
        </w:rPr>
        <w:t>nvestment polic</w:t>
      </w:r>
      <w:r w:rsidR="003347ED">
        <w:rPr>
          <w:rFonts w:ascii="Arial" w:hAnsi="Arial" w:cs="Arial"/>
          <w:u w:val="single"/>
        </w:rPr>
        <w:t xml:space="preserve">y </w:t>
      </w:r>
      <w:r w:rsidR="00D836A9" w:rsidRPr="00D836A9">
        <w:rPr>
          <w:rFonts w:ascii="Arial" w:hAnsi="Arial" w:cs="Arial"/>
          <w:u w:val="single"/>
        </w:rPr>
        <w:t xml:space="preserve"> </w:t>
      </w:r>
    </w:p>
    <w:bookmarkEnd w:id="1"/>
    <w:p w14:paraId="585B64B6" w14:textId="77777777" w:rsidR="00BB5BC3" w:rsidRDefault="00BB5BC3" w:rsidP="00BB5BC3">
      <w:pPr>
        <w:jc w:val="both"/>
        <w:rPr>
          <w:rFonts w:ascii="Arial" w:hAnsi="Arial" w:cs="Arial"/>
        </w:rPr>
      </w:pPr>
      <w:r>
        <w:rPr>
          <w:rFonts w:ascii="Arial" w:hAnsi="Arial" w:cs="Arial"/>
        </w:rPr>
        <w:t xml:space="preserve">The University’s </w:t>
      </w:r>
      <w:r w:rsidRPr="005114FF">
        <w:rPr>
          <w:rFonts w:ascii="Arial" w:hAnsi="Arial" w:cs="Arial"/>
        </w:rPr>
        <w:t>Revised Policy for Responsible Investment</w:t>
      </w:r>
      <w:r>
        <w:rPr>
          <w:rStyle w:val="FootnoteReference"/>
          <w:rFonts w:ascii="Arial" w:hAnsi="Arial" w:cs="Arial"/>
        </w:rPr>
        <w:footnoteReference w:id="2"/>
      </w:r>
      <w:r>
        <w:rPr>
          <w:rFonts w:ascii="Arial" w:hAnsi="Arial" w:cs="Arial"/>
        </w:rPr>
        <w:t xml:space="preserve"> states: </w:t>
      </w:r>
    </w:p>
    <w:p w14:paraId="45338E08" w14:textId="242F3396" w:rsidR="00BB5BC3" w:rsidRPr="00B33C08" w:rsidRDefault="00CB4455" w:rsidP="00BB5BC3">
      <w:pPr>
        <w:jc w:val="both"/>
        <w:rPr>
          <w:rFonts w:ascii="Arial" w:hAnsi="Arial" w:cs="Arial"/>
          <w:b/>
          <w:bCs/>
          <w:i/>
          <w:iCs/>
        </w:rPr>
      </w:pPr>
      <w:r>
        <w:rPr>
          <w:rFonts w:ascii="Arial" w:hAnsi="Arial" w:cs="Arial"/>
          <w:i/>
          <w:iCs/>
        </w:rPr>
        <w:t>“</w:t>
      </w:r>
      <w:r w:rsidR="00BB5BC3">
        <w:rPr>
          <w:rFonts w:ascii="Arial" w:hAnsi="Arial" w:cs="Arial"/>
          <w:i/>
          <w:iCs/>
        </w:rPr>
        <w:t xml:space="preserve">2. </w:t>
      </w:r>
      <w:r w:rsidR="00BB5BC3" w:rsidRPr="00B33C08">
        <w:rPr>
          <w:rFonts w:ascii="Arial" w:hAnsi="Arial" w:cs="Arial"/>
          <w:b/>
          <w:bCs/>
          <w:i/>
          <w:iCs/>
        </w:rPr>
        <w:t xml:space="preserve">Environmental, Social and Governance (ESG) Issues </w:t>
      </w:r>
    </w:p>
    <w:p w14:paraId="65DCA2AB" w14:textId="77777777" w:rsidR="00BB5BC3" w:rsidRDefault="00BB5BC3" w:rsidP="00BB5BC3">
      <w:pPr>
        <w:jc w:val="both"/>
        <w:rPr>
          <w:rFonts w:ascii="Arial" w:hAnsi="Arial" w:cs="Arial"/>
          <w:i/>
          <w:iCs/>
        </w:rPr>
      </w:pPr>
      <w:r w:rsidRPr="00FA6E04">
        <w:rPr>
          <w:rFonts w:ascii="Arial" w:hAnsi="Arial" w:cs="Arial"/>
          <w:i/>
          <w:iCs/>
        </w:rPr>
        <w:t xml:space="preserve">The University is particularly concerned about the following key ESG issues and will continue to adopt investment strategies that seek to, ideally, eliminate investments in companies with corporate behaviour leading to: </w:t>
      </w:r>
    </w:p>
    <w:p w14:paraId="5C596B30" w14:textId="77777777" w:rsidR="00BB5BC3" w:rsidRDefault="00BB5BC3" w:rsidP="00BB5BC3">
      <w:pPr>
        <w:pStyle w:val="ListParagraph"/>
        <w:numPr>
          <w:ilvl w:val="0"/>
          <w:numId w:val="13"/>
        </w:numPr>
        <w:jc w:val="both"/>
        <w:rPr>
          <w:rFonts w:ascii="Arial" w:hAnsi="Arial" w:cs="Arial"/>
          <w:i/>
          <w:iCs/>
        </w:rPr>
      </w:pPr>
      <w:r w:rsidRPr="00285B61">
        <w:rPr>
          <w:rFonts w:ascii="Arial" w:hAnsi="Arial" w:cs="Arial"/>
          <w:i/>
          <w:iCs/>
        </w:rPr>
        <w:lastRenderedPageBreak/>
        <w:t>Environmental degradation and climate change (more detail in Section 3 of this Policy)</w:t>
      </w:r>
    </w:p>
    <w:p w14:paraId="6D71EDF2" w14:textId="77777777" w:rsidR="00BB5BC3" w:rsidRDefault="00BB5BC3" w:rsidP="00BB5BC3">
      <w:pPr>
        <w:pStyle w:val="ListParagraph"/>
        <w:numPr>
          <w:ilvl w:val="0"/>
          <w:numId w:val="13"/>
        </w:numPr>
        <w:jc w:val="both"/>
        <w:rPr>
          <w:rFonts w:ascii="Arial" w:hAnsi="Arial" w:cs="Arial"/>
          <w:i/>
          <w:iCs/>
        </w:rPr>
      </w:pPr>
      <w:r w:rsidRPr="00FA6E04">
        <w:rPr>
          <w:rFonts w:ascii="Arial" w:hAnsi="Arial" w:cs="Arial"/>
          <w:i/>
          <w:iCs/>
        </w:rPr>
        <w:t xml:space="preserve">Manufacture of controversial weapons, including cluster munitions, landmines, biological and chemical weapons and depleted uranium weapons </w:t>
      </w:r>
    </w:p>
    <w:p w14:paraId="46C25121" w14:textId="77777777" w:rsidR="00BB5BC3" w:rsidRDefault="00BB5BC3" w:rsidP="00BB5BC3">
      <w:pPr>
        <w:pStyle w:val="ListParagraph"/>
        <w:numPr>
          <w:ilvl w:val="0"/>
          <w:numId w:val="13"/>
        </w:numPr>
        <w:jc w:val="both"/>
        <w:rPr>
          <w:rFonts w:ascii="Arial" w:hAnsi="Arial" w:cs="Arial"/>
          <w:i/>
          <w:iCs/>
        </w:rPr>
      </w:pPr>
      <w:r w:rsidRPr="00FA6E04">
        <w:rPr>
          <w:rFonts w:ascii="Arial" w:hAnsi="Arial" w:cs="Arial"/>
          <w:i/>
          <w:iCs/>
        </w:rPr>
        <w:t xml:space="preserve">Tobacco production, cultivation and manufacture </w:t>
      </w:r>
    </w:p>
    <w:p w14:paraId="27AF2E57" w14:textId="77777777" w:rsidR="00BB5BC3" w:rsidRDefault="00BB5BC3" w:rsidP="00BB5BC3">
      <w:pPr>
        <w:pStyle w:val="ListParagraph"/>
        <w:numPr>
          <w:ilvl w:val="0"/>
          <w:numId w:val="13"/>
        </w:numPr>
        <w:jc w:val="both"/>
        <w:rPr>
          <w:rFonts w:ascii="Arial" w:hAnsi="Arial" w:cs="Arial"/>
          <w:i/>
          <w:iCs/>
        </w:rPr>
      </w:pPr>
      <w:r w:rsidRPr="00FA6E04">
        <w:rPr>
          <w:rFonts w:ascii="Arial" w:hAnsi="Arial" w:cs="Arial"/>
          <w:i/>
          <w:iCs/>
        </w:rPr>
        <w:t xml:space="preserve">Human rights violations </w:t>
      </w:r>
    </w:p>
    <w:p w14:paraId="069180CC" w14:textId="77777777" w:rsidR="00BB5BC3" w:rsidRDefault="00BB5BC3" w:rsidP="00BB5BC3">
      <w:pPr>
        <w:pStyle w:val="ListParagraph"/>
        <w:numPr>
          <w:ilvl w:val="0"/>
          <w:numId w:val="13"/>
        </w:numPr>
        <w:jc w:val="both"/>
        <w:rPr>
          <w:rFonts w:ascii="Arial" w:hAnsi="Arial" w:cs="Arial"/>
          <w:i/>
          <w:iCs/>
        </w:rPr>
      </w:pPr>
      <w:r w:rsidRPr="00FA6E04">
        <w:rPr>
          <w:rFonts w:ascii="Arial" w:hAnsi="Arial" w:cs="Arial"/>
          <w:i/>
          <w:iCs/>
        </w:rPr>
        <w:t xml:space="preserve">The </w:t>
      </w:r>
      <w:proofErr w:type="spellStart"/>
      <w:r w:rsidRPr="00FA6E04">
        <w:rPr>
          <w:rFonts w:ascii="Arial" w:hAnsi="Arial" w:cs="Arial"/>
          <w:i/>
          <w:iCs/>
        </w:rPr>
        <w:t>institutionalisation</w:t>
      </w:r>
      <w:proofErr w:type="spellEnd"/>
      <w:r w:rsidRPr="00FA6E04">
        <w:rPr>
          <w:rFonts w:ascii="Arial" w:hAnsi="Arial" w:cs="Arial"/>
          <w:i/>
          <w:iCs/>
        </w:rPr>
        <w:t xml:space="preserve"> of poverty through discriminatory market practices</w:t>
      </w:r>
    </w:p>
    <w:p w14:paraId="1706C6A3" w14:textId="77777777" w:rsidR="00BB5BC3" w:rsidRDefault="00BB5BC3" w:rsidP="00BB5BC3">
      <w:pPr>
        <w:pStyle w:val="ListParagraph"/>
        <w:numPr>
          <w:ilvl w:val="0"/>
          <w:numId w:val="13"/>
        </w:numPr>
        <w:jc w:val="both"/>
        <w:rPr>
          <w:rFonts w:ascii="Arial" w:hAnsi="Arial" w:cs="Arial"/>
          <w:i/>
          <w:iCs/>
        </w:rPr>
      </w:pPr>
      <w:r w:rsidRPr="00FA6E04">
        <w:rPr>
          <w:rFonts w:ascii="Arial" w:hAnsi="Arial" w:cs="Arial"/>
          <w:i/>
          <w:iCs/>
        </w:rPr>
        <w:t xml:space="preserve">Racial or sexual discrimination </w:t>
      </w:r>
    </w:p>
    <w:p w14:paraId="79FF1B5A" w14:textId="77777777" w:rsidR="00BB5BC3" w:rsidRDefault="00BB5BC3" w:rsidP="00BB5BC3">
      <w:pPr>
        <w:pStyle w:val="ListParagraph"/>
        <w:numPr>
          <w:ilvl w:val="0"/>
          <w:numId w:val="13"/>
        </w:numPr>
        <w:jc w:val="both"/>
        <w:rPr>
          <w:rFonts w:ascii="Arial" w:hAnsi="Arial" w:cs="Arial"/>
          <w:i/>
          <w:iCs/>
        </w:rPr>
      </w:pPr>
      <w:r w:rsidRPr="00FA6E04">
        <w:rPr>
          <w:rFonts w:ascii="Arial" w:hAnsi="Arial" w:cs="Arial"/>
          <w:i/>
          <w:iCs/>
        </w:rPr>
        <w:t>The exploitation of workers</w:t>
      </w:r>
    </w:p>
    <w:p w14:paraId="247AAA72" w14:textId="2E444A47" w:rsidR="00BB5BC3" w:rsidRPr="00CB4455" w:rsidRDefault="00BB5BC3" w:rsidP="00BB5BC3">
      <w:pPr>
        <w:pStyle w:val="ListParagraph"/>
        <w:numPr>
          <w:ilvl w:val="0"/>
          <w:numId w:val="13"/>
        </w:numPr>
        <w:jc w:val="both"/>
        <w:rPr>
          <w:rFonts w:ascii="Arial" w:hAnsi="Arial" w:cs="Arial"/>
          <w:i/>
          <w:iCs/>
        </w:rPr>
      </w:pPr>
      <w:r w:rsidRPr="00FA6E04">
        <w:rPr>
          <w:rFonts w:ascii="Arial" w:hAnsi="Arial" w:cs="Arial"/>
          <w:i/>
          <w:iCs/>
        </w:rPr>
        <w:t>Giving or receiving of bribes</w:t>
      </w:r>
      <w:r w:rsidR="00CB4455">
        <w:rPr>
          <w:rFonts w:ascii="Arial" w:hAnsi="Arial" w:cs="Arial"/>
          <w:i/>
          <w:iCs/>
        </w:rPr>
        <w:t xml:space="preserve">.” </w:t>
      </w:r>
    </w:p>
    <w:p w14:paraId="10E99F33" w14:textId="02F4FD9E" w:rsidR="00BB5BC3" w:rsidRPr="000336D4" w:rsidRDefault="00BB5BC3" w:rsidP="00BB5BC3">
      <w:pPr>
        <w:jc w:val="both"/>
        <w:rPr>
          <w:rFonts w:ascii="Arial" w:hAnsi="Arial" w:cs="Arial"/>
        </w:rPr>
      </w:pPr>
      <w:r>
        <w:rPr>
          <w:rFonts w:ascii="Arial" w:hAnsi="Arial" w:cs="Arial"/>
        </w:rPr>
        <w:t xml:space="preserve">The policy </w:t>
      </w:r>
      <w:r w:rsidR="00CB4455">
        <w:rPr>
          <w:rFonts w:ascii="Arial" w:hAnsi="Arial" w:cs="Arial"/>
        </w:rPr>
        <w:t xml:space="preserve">further </w:t>
      </w:r>
      <w:r>
        <w:rPr>
          <w:rFonts w:ascii="Arial" w:hAnsi="Arial" w:cs="Arial"/>
        </w:rPr>
        <w:t>goes on to state under the heading,</w:t>
      </w:r>
      <w:r w:rsidRPr="00060060">
        <w:rPr>
          <w:rFonts w:ascii="Arial" w:hAnsi="Arial" w:cs="Arial"/>
          <w:b/>
          <w:bCs/>
          <w:i/>
          <w:iCs/>
        </w:rPr>
        <w:t xml:space="preserve"> “Investment Charter”</w:t>
      </w:r>
      <w:r>
        <w:rPr>
          <w:rFonts w:ascii="Arial" w:hAnsi="Arial" w:cs="Arial"/>
        </w:rPr>
        <w:t>:</w:t>
      </w:r>
    </w:p>
    <w:p w14:paraId="6D8D1B73" w14:textId="77777777" w:rsidR="00BB5BC3" w:rsidRPr="0065059D" w:rsidRDefault="00BB5BC3" w:rsidP="00BB5BC3">
      <w:pPr>
        <w:jc w:val="both"/>
        <w:rPr>
          <w:rFonts w:ascii="Arial" w:hAnsi="Arial" w:cs="Arial"/>
          <w:i/>
          <w:iCs/>
        </w:rPr>
      </w:pPr>
      <w:r w:rsidRPr="0065059D">
        <w:rPr>
          <w:rFonts w:ascii="Arial" w:hAnsi="Arial" w:cs="Arial"/>
          <w:i/>
          <w:iCs/>
        </w:rPr>
        <w:t>“</w:t>
      </w:r>
      <w:r w:rsidRPr="0065059D">
        <w:rPr>
          <w:rFonts w:ascii="Arial" w:hAnsi="Arial" w:cs="Arial"/>
          <w:b/>
          <w:bCs/>
          <w:i/>
          <w:iCs/>
        </w:rPr>
        <w:t>Divestment</w:t>
      </w:r>
      <w:r w:rsidRPr="0065059D">
        <w:rPr>
          <w:rFonts w:ascii="Arial" w:hAnsi="Arial" w:cs="Arial"/>
          <w:i/>
          <w:iCs/>
        </w:rPr>
        <w:t xml:space="preserve"> </w:t>
      </w:r>
    </w:p>
    <w:p w14:paraId="59630642" w14:textId="77777777" w:rsidR="00BB5BC3" w:rsidRPr="0065059D" w:rsidRDefault="00BB5BC3" w:rsidP="00BB5BC3">
      <w:pPr>
        <w:pStyle w:val="ListParagraph"/>
        <w:numPr>
          <w:ilvl w:val="0"/>
          <w:numId w:val="14"/>
        </w:numPr>
        <w:jc w:val="both"/>
        <w:rPr>
          <w:rFonts w:ascii="Arial" w:hAnsi="Arial" w:cs="Arial"/>
          <w:i/>
          <w:iCs/>
        </w:rPr>
      </w:pPr>
      <w:r w:rsidRPr="0065059D">
        <w:rPr>
          <w:rFonts w:ascii="Arial" w:hAnsi="Arial" w:cs="Arial"/>
          <w:i/>
          <w:iCs/>
        </w:rPr>
        <w:t xml:space="preserve">Where the University has agreed exclusion criteria that Investment Managers need to adhere to, if any violations of the criteria are detected divestment must ensue as soon as practical, or as in the case of </w:t>
      </w:r>
      <w:proofErr w:type="spellStart"/>
      <w:r w:rsidRPr="0065059D">
        <w:rPr>
          <w:rFonts w:ascii="Arial" w:hAnsi="Arial" w:cs="Arial"/>
          <w:i/>
          <w:iCs/>
        </w:rPr>
        <w:t>decarbonisation</w:t>
      </w:r>
      <w:proofErr w:type="spellEnd"/>
      <w:r w:rsidRPr="0065059D">
        <w:rPr>
          <w:rFonts w:ascii="Arial" w:hAnsi="Arial" w:cs="Arial"/>
          <w:i/>
          <w:iCs/>
        </w:rPr>
        <w:t>, within the timeframe defined in the Policy.</w:t>
      </w:r>
    </w:p>
    <w:p w14:paraId="0A198343" w14:textId="6525C9DB" w:rsidR="00BB5BC3" w:rsidRPr="0065059D" w:rsidRDefault="00BB5BC3" w:rsidP="006C59BB">
      <w:pPr>
        <w:pStyle w:val="ListParagraph"/>
        <w:numPr>
          <w:ilvl w:val="0"/>
          <w:numId w:val="14"/>
        </w:numPr>
        <w:jc w:val="both"/>
        <w:rPr>
          <w:rFonts w:ascii="Arial" w:hAnsi="Arial" w:cs="Arial"/>
          <w:i/>
          <w:iCs/>
        </w:rPr>
      </w:pPr>
      <w:r w:rsidRPr="0065059D">
        <w:rPr>
          <w:rFonts w:ascii="Arial" w:hAnsi="Arial" w:cs="Arial"/>
          <w:i/>
          <w:iCs/>
        </w:rPr>
        <w:t>In other situations, where a company in which the University currently holds shares does not respond positively to concerns about its practices and is deemed to be in fundamental breach of acceptable standards of ethical and/or environmental practice, where directly practical, the University will instruct its Investment Manager to divest of shares in that Company and require the Investment Manager to inform the Company of its reasons for doing so. The University may implement this by selecting pooled funds with policies on engagement and stock selection that are aligned to the University’s objectives and beliefs.”</w:t>
      </w:r>
    </w:p>
    <w:p w14:paraId="5DDFFC32" w14:textId="77777777" w:rsidR="004F0393" w:rsidRDefault="00B7351B" w:rsidP="006C59BB">
      <w:pPr>
        <w:jc w:val="both"/>
        <w:rPr>
          <w:rFonts w:ascii="Arial" w:hAnsi="Arial" w:cs="Arial"/>
        </w:rPr>
      </w:pPr>
      <w:r w:rsidRPr="00B230F2">
        <w:rPr>
          <w:rFonts w:ascii="Arial" w:hAnsi="Arial" w:cs="Arial"/>
        </w:rPr>
        <w:t>However</w:t>
      </w:r>
      <w:r w:rsidR="000B7104" w:rsidRPr="00B230F2">
        <w:rPr>
          <w:rFonts w:ascii="Arial" w:hAnsi="Arial" w:cs="Arial"/>
        </w:rPr>
        <w:t>,</w:t>
      </w:r>
      <w:r w:rsidR="007C7EC2" w:rsidRPr="00B230F2">
        <w:rPr>
          <w:rFonts w:ascii="Arial" w:hAnsi="Arial" w:cs="Arial"/>
        </w:rPr>
        <w:t xml:space="preserve"> despite th</w:t>
      </w:r>
      <w:r w:rsidR="00B230F2" w:rsidRPr="00B230F2">
        <w:rPr>
          <w:rFonts w:ascii="Arial" w:hAnsi="Arial" w:cs="Arial"/>
        </w:rPr>
        <w:t>is</w:t>
      </w:r>
      <w:r w:rsidRPr="00B230F2">
        <w:rPr>
          <w:rFonts w:ascii="Arial" w:hAnsi="Arial" w:cs="Arial"/>
        </w:rPr>
        <w:t>, t</w:t>
      </w:r>
      <w:r w:rsidR="00F331FF" w:rsidRPr="00B230F2">
        <w:rPr>
          <w:rFonts w:ascii="Arial" w:hAnsi="Arial" w:cs="Arial"/>
        </w:rPr>
        <w:t>he</w:t>
      </w:r>
      <w:r w:rsidR="00F331FF" w:rsidRPr="00F331FF">
        <w:rPr>
          <w:rFonts w:ascii="Arial" w:hAnsi="Arial" w:cs="Arial"/>
        </w:rPr>
        <w:t xml:space="preserve"> University </w:t>
      </w:r>
      <w:r w:rsidR="00A50A27">
        <w:rPr>
          <w:rFonts w:ascii="Arial" w:hAnsi="Arial" w:cs="Arial"/>
        </w:rPr>
        <w:t>has partnership</w:t>
      </w:r>
      <w:r w:rsidR="001C17D9">
        <w:rPr>
          <w:rFonts w:ascii="Arial" w:hAnsi="Arial" w:cs="Arial"/>
        </w:rPr>
        <w:t xml:space="preserve">s </w:t>
      </w:r>
      <w:r w:rsidR="00A50A27">
        <w:rPr>
          <w:rFonts w:ascii="Arial" w:hAnsi="Arial" w:cs="Arial"/>
        </w:rPr>
        <w:t xml:space="preserve">with the defence industry </w:t>
      </w:r>
      <w:r w:rsidR="007C7EC2">
        <w:rPr>
          <w:rFonts w:ascii="Arial" w:hAnsi="Arial" w:cs="Arial"/>
        </w:rPr>
        <w:t xml:space="preserve">for </w:t>
      </w:r>
      <w:r w:rsidR="00A50A27">
        <w:rPr>
          <w:rFonts w:ascii="Arial" w:hAnsi="Arial" w:cs="Arial"/>
        </w:rPr>
        <w:t>a</w:t>
      </w:r>
      <w:r w:rsidR="008A3ABE">
        <w:rPr>
          <w:rFonts w:ascii="Arial" w:hAnsi="Arial" w:cs="Arial"/>
        </w:rPr>
        <w:t>n</w:t>
      </w:r>
      <w:r w:rsidR="00A50A27">
        <w:rPr>
          <w:rFonts w:ascii="Arial" w:hAnsi="Arial" w:cs="Arial"/>
        </w:rPr>
        <w:t xml:space="preserve"> ast</w:t>
      </w:r>
      <w:r w:rsidR="00F331FF" w:rsidRPr="00F331FF">
        <w:rPr>
          <w:rFonts w:ascii="Arial" w:hAnsi="Arial" w:cs="Arial"/>
        </w:rPr>
        <w:t xml:space="preserve">ounding </w:t>
      </w:r>
      <w:r w:rsidR="00A50A27">
        <w:rPr>
          <w:rFonts w:ascii="Arial" w:hAnsi="Arial" w:cs="Arial"/>
        </w:rPr>
        <w:t xml:space="preserve">value of </w:t>
      </w:r>
      <w:r w:rsidR="009D1978">
        <w:rPr>
          <w:rFonts w:ascii="Arial" w:hAnsi="Arial" w:cs="Arial"/>
        </w:rPr>
        <w:t>£</w:t>
      </w:r>
      <w:r w:rsidR="00CB4455">
        <w:rPr>
          <w:rFonts w:ascii="Arial" w:hAnsi="Arial" w:cs="Arial"/>
        </w:rPr>
        <w:t>22</w:t>
      </w:r>
      <w:r w:rsidR="001C17D9">
        <w:rPr>
          <w:rFonts w:ascii="Arial" w:hAnsi="Arial" w:cs="Arial"/>
        </w:rPr>
        <w:t>,</w:t>
      </w:r>
      <w:r w:rsidR="00CB4455">
        <w:rPr>
          <w:rFonts w:ascii="Arial" w:hAnsi="Arial" w:cs="Arial"/>
        </w:rPr>
        <w:t>523,667.00</w:t>
      </w:r>
      <w:r w:rsidR="001C17D9">
        <w:rPr>
          <w:rFonts w:ascii="Arial" w:hAnsi="Arial" w:cs="Arial"/>
        </w:rPr>
        <w:t xml:space="preserve">. </w:t>
      </w:r>
      <w:r w:rsidR="00CB4455">
        <w:rPr>
          <w:rFonts w:ascii="Arial" w:hAnsi="Arial" w:cs="Arial"/>
        </w:rPr>
        <w:t xml:space="preserve">The University has also </w:t>
      </w:r>
      <w:r w:rsidR="00CB4455" w:rsidRPr="00CB4455">
        <w:rPr>
          <w:rFonts w:ascii="Arial" w:hAnsi="Arial" w:cs="Arial"/>
        </w:rPr>
        <w:t>invested £3,969,901</w:t>
      </w:r>
      <w:r w:rsidR="00CB4455">
        <w:rPr>
          <w:rFonts w:ascii="Arial" w:hAnsi="Arial" w:cs="Arial"/>
        </w:rPr>
        <w:t xml:space="preserve"> </w:t>
      </w:r>
      <w:r w:rsidR="00CB4455" w:rsidRPr="00CB4455">
        <w:rPr>
          <w:rFonts w:ascii="Arial" w:hAnsi="Arial" w:cs="Arial"/>
        </w:rPr>
        <w:t xml:space="preserve">in Amazon, Alphabet, General Motors, HSBC, Siemens, Mondelez, </w:t>
      </w:r>
      <w:r w:rsidR="00AA3370">
        <w:rPr>
          <w:rFonts w:ascii="Arial" w:hAnsi="Arial" w:cs="Arial"/>
        </w:rPr>
        <w:t xml:space="preserve">and </w:t>
      </w:r>
      <w:r w:rsidR="00CB4455" w:rsidRPr="00CB4455">
        <w:rPr>
          <w:rFonts w:ascii="Arial" w:hAnsi="Arial" w:cs="Arial"/>
        </w:rPr>
        <w:t>Coca-Cola</w:t>
      </w:r>
      <w:r w:rsidR="00AA3370">
        <w:rPr>
          <w:rFonts w:ascii="Arial" w:hAnsi="Arial" w:cs="Arial"/>
        </w:rPr>
        <w:t xml:space="preserve">. The University has worked with </w:t>
      </w:r>
      <w:r w:rsidR="00CB4455" w:rsidRPr="00CB4455">
        <w:rPr>
          <w:rFonts w:ascii="Arial" w:hAnsi="Arial" w:cs="Arial"/>
        </w:rPr>
        <w:t>BAE Systems</w:t>
      </w:r>
      <w:r w:rsidR="00AA3370">
        <w:rPr>
          <w:rFonts w:ascii="Arial" w:hAnsi="Arial" w:cs="Arial"/>
        </w:rPr>
        <w:t xml:space="preserve"> to design weapons which is likely to be used against civilians</w:t>
      </w:r>
      <w:r w:rsidR="00CB4455" w:rsidRPr="00CB4455">
        <w:rPr>
          <w:rFonts w:ascii="Arial" w:hAnsi="Arial" w:cs="Arial"/>
        </w:rPr>
        <w:t xml:space="preserve">. </w:t>
      </w:r>
      <w:r w:rsidR="000B7104" w:rsidRPr="00285B61">
        <w:rPr>
          <w:rFonts w:ascii="Arial" w:hAnsi="Arial" w:cs="Arial"/>
        </w:rPr>
        <w:t xml:space="preserve">These </w:t>
      </w:r>
      <w:r w:rsidR="00174682">
        <w:rPr>
          <w:rFonts w:ascii="Arial" w:hAnsi="Arial" w:cs="Arial"/>
        </w:rPr>
        <w:t>defence companies</w:t>
      </w:r>
      <w:r w:rsidR="00A17339">
        <w:rPr>
          <w:rFonts w:ascii="Arial" w:hAnsi="Arial" w:cs="Arial"/>
        </w:rPr>
        <w:t xml:space="preserve"> and </w:t>
      </w:r>
      <w:r w:rsidR="000B7104" w:rsidRPr="00285B61">
        <w:rPr>
          <w:rFonts w:ascii="Arial" w:hAnsi="Arial" w:cs="Arial"/>
        </w:rPr>
        <w:t>corporations</w:t>
      </w:r>
      <w:r w:rsidR="00A17339">
        <w:rPr>
          <w:rFonts w:ascii="Arial" w:hAnsi="Arial" w:cs="Arial"/>
        </w:rPr>
        <w:t xml:space="preserve"> </w:t>
      </w:r>
      <w:r w:rsidR="00174682">
        <w:rPr>
          <w:rFonts w:ascii="Arial" w:hAnsi="Arial" w:cs="Arial"/>
        </w:rPr>
        <w:t xml:space="preserve">are either complicit in </w:t>
      </w:r>
      <w:r w:rsidR="000B7104" w:rsidRPr="00285B61">
        <w:rPr>
          <w:rFonts w:ascii="Arial" w:hAnsi="Arial" w:cs="Arial"/>
        </w:rPr>
        <w:t>Israeli war crimes</w:t>
      </w:r>
      <w:r w:rsidR="000B7104">
        <w:rPr>
          <w:rFonts w:ascii="Arial" w:hAnsi="Arial" w:cs="Arial"/>
        </w:rPr>
        <w:t>,</w:t>
      </w:r>
      <w:r w:rsidR="000B7104" w:rsidRPr="00285B61">
        <w:rPr>
          <w:rFonts w:ascii="Arial" w:hAnsi="Arial" w:cs="Arial"/>
        </w:rPr>
        <w:t xml:space="preserve"> </w:t>
      </w:r>
      <w:r w:rsidR="000B7104">
        <w:rPr>
          <w:rFonts w:ascii="Arial" w:hAnsi="Arial" w:cs="Arial"/>
        </w:rPr>
        <w:t xml:space="preserve">including deriving revenue from armaments and nuclear weaponry, </w:t>
      </w:r>
      <w:r w:rsidR="000B7104" w:rsidRPr="00285B61">
        <w:rPr>
          <w:rFonts w:ascii="Arial" w:hAnsi="Arial" w:cs="Arial"/>
        </w:rPr>
        <w:t xml:space="preserve">or they invest in settlements </w:t>
      </w:r>
      <w:bookmarkStart w:id="2" w:name="_Hlk175506274"/>
      <w:r w:rsidR="000B7104" w:rsidRPr="00285B61">
        <w:rPr>
          <w:rFonts w:ascii="Arial" w:hAnsi="Arial" w:cs="Arial"/>
        </w:rPr>
        <w:t xml:space="preserve">and/or maintain the Israeli illegal occupation. </w:t>
      </w:r>
      <w:bookmarkEnd w:id="2"/>
      <w:r w:rsidR="000B7104" w:rsidRPr="00B230F2">
        <w:rPr>
          <w:rFonts w:ascii="Arial" w:hAnsi="Arial" w:cs="Arial"/>
        </w:rPr>
        <w:t xml:space="preserve">The University has failed to adhere to its own </w:t>
      </w:r>
      <w:r w:rsidR="001C17D9" w:rsidRPr="00B230F2">
        <w:rPr>
          <w:rFonts w:ascii="Arial" w:hAnsi="Arial" w:cs="Arial"/>
        </w:rPr>
        <w:t xml:space="preserve">Investment </w:t>
      </w:r>
      <w:r w:rsidR="00B230F2" w:rsidRPr="00B230F2">
        <w:rPr>
          <w:rFonts w:ascii="Arial" w:hAnsi="Arial" w:cs="Arial"/>
        </w:rPr>
        <w:t>Policy</w:t>
      </w:r>
      <w:r w:rsidR="000B7104" w:rsidRPr="00B230F2">
        <w:rPr>
          <w:rFonts w:ascii="Arial" w:hAnsi="Arial" w:cs="Arial"/>
        </w:rPr>
        <w:t>.</w:t>
      </w:r>
      <w:r w:rsidR="000B7104">
        <w:rPr>
          <w:rFonts w:ascii="Arial" w:hAnsi="Arial" w:cs="Arial"/>
        </w:rPr>
        <w:t xml:space="preserve"> </w:t>
      </w:r>
      <w:r w:rsidR="00A50A27" w:rsidRPr="007C7EC2">
        <w:rPr>
          <w:rFonts w:ascii="Arial" w:hAnsi="Arial" w:cs="Arial"/>
        </w:rPr>
        <w:t xml:space="preserve">A breakdown of the University’s unethical investments from the Palestinian Solidarity Campaign and Demilitarise Education </w:t>
      </w:r>
      <w:r w:rsidRPr="007C7EC2">
        <w:rPr>
          <w:rFonts w:ascii="Arial" w:hAnsi="Arial" w:cs="Arial"/>
        </w:rPr>
        <w:t>is</w:t>
      </w:r>
      <w:r w:rsidR="00A50A27" w:rsidRPr="007C7EC2">
        <w:rPr>
          <w:rFonts w:ascii="Arial" w:hAnsi="Arial" w:cs="Arial"/>
        </w:rPr>
        <w:t xml:space="preserve"> attached.</w:t>
      </w:r>
    </w:p>
    <w:p w14:paraId="7B8D9CBF" w14:textId="77777777" w:rsidR="004F0393" w:rsidRDefault="004F0393" w:rsidP="004F0393">
      <w:pPr>
        <w:jc w:val="both"/>
        <w:rPr>
          <w:rFonts w:ascii="Arial" w:hAnsi="Arial" w:cs="Arial"/>
        </w:rPr>
      </w:pPr>
      <w:r w:rsidRPr="008D6496">
        <w:rPr>
          <w:rFonts w:ascii="Arial" w:hAnsi="Arial" w:cs="Arial"/>
        </w:rPr>
        <w:t xml:space="preserve">The UN Guiding Principles on Business and Human Rights (UNGPs) clearly sets out that </w:t>
      </w:r>
      <w:r w:rsidRPr="008D6496">
        <w:rPr>
          <w:rFonts w:ascii="Arial" w:hAnsi="Arial" w:cs="Arial"/>
          <w:i/>
          <w:iCs/>
        </w:rPr>
        <w:t>“all companies have a responsibility to respect human rights and, to meet that responsibility, undertake human rights due diligence to identify, prevent, mitigate and account for how they address both their potential and actual human rights impacts.”</w:t>
      </w:r>
      <w:r>
        <w:rPr>
          <w:rStyle w:val="FootnoteReference"/>
          <w:rFonts w:ascii="Arial" w:hAnsi="Arial" w:cs="Arial"/>
          <w:i/>
          <w:iCs/>
        </w:rPr>
        <w:footnoteReference w:id="3"/>
      </w:r>
      <w:r w:rsidRPr="008D6496">
        <w:rPr>
          <w:rFonts w:ascii="Arial" w:hAnsi="Arial" w:cs="Arial"/>
          <w:i/>
          <w:iCs/>
        </w:rPr>
        <w:t xml:space="preserve"> </w:t>
      </w:r>
      <w:r w:rsidRPr="008D6496">
        <w:rPr>
          <w:rFonts w:ascii="Arial" w:hAnsi="Arial" w:cs="Arial"/>
        </w:rPr>
        <w:t>It is unacceptable to me that the University makes significant investments without proper and adequate oversight contributing in the Israeli apartheid system and its war crimes being perpetuated against an occupied people.</w:t>
      </w:r>
    </w:p>
    <w:p w14:paraId="02C3496C" w14:textId="77777777" w:rsidR="004F0393" w:rsidRPr="009C0EEA" w:rsidRDefault="004F0393" w:rsidP="004F0393">
      <w:pPr>
        <w:jc w:val="both"/>
        <w:rPr>
          <w:rFonts w:ascii="Arial" w:hAnsi="Arial" w:cs="Arial"/>
        </w:rPr>
      </w:pPr>
      <w:r>
        <w:rPr>
          <w:rFonts w:ascii="Arial" w:hAnsi="Arial" w:cs="Arial"/>
        </w:rPr>
        <w:lastRenderedPageBreak/>
        <w:t>On 20</w:t>
      </w:r>
      <w:r w:rsidRPr="005F69F4">
        <w:rPr>
          <w:rFonts w:ascii="Arial" w:hAnsi="Arial" w:cs="Arial"/>
          <w:vertAlign w:val="superscript"/>
        </w:rPr>
        <w:t>th</w:t>
      </w:r>
      <w:r>
        <w:rPr>
          <w:rFonts w:ascii="Arial" w:hAnsi="Arial" w:cs="Arial"/>
        </w:rPr>
        <w:t xml:space="preserve"> June 2024, the United Nations issued a statement requiring states and defence companies including BAE Systems, Boeing, Caterpillar and Rolls Royce to halt arms transfers even if they are being executed under current export licences to Israel as this is likely to </w:t>
      </w:r>
      <w:r w:rsidRPr="005F69F4">
        <w:rPr>
          <w:rFonts w:ascii="Arial" w:hAnsi="Arial" w:cs="Arial"/>
          <w:i/>
          <w:iCs/>
        </w:rPr>
        <w:t>“constitute serious violations of human rights and international humanitarian laws and risks state complicity in international crimes, possibly including genocide.”</w:t>
      </w:r>
      <w:r>
        <w:rPr>
          <w:rStyle w:val="FootnoteReference"/>
          <w:rFonts w:ascii="Arial" w:hAnsi="Arial" w:cs="Arial"/>
          <w:i/>
          <w:iCs/>
        </w:rPr>
        <w:footnoteReference w:id="4"/>
      </w:r>
      <w:r>
        <w:rPr>
          <w:rFonts w:ascii="Arial" w:hAnsi="Arial" w:cs="Arial"/>
          <w:i/>
          <w:iCs/>
        </w:rPr>
        <w:t xml:space="preserve"> </w:t>
      </w:r>
      <w:r>
        <w:rPr>
          <w:rFonts w:ascii="Arial" w:hAnsi="Arial" w:cs="Arial"/>
        </w:rPr>
        <w:t xml:space="preserve">What actions have you taken to ensure that the University is not complicit in Israeli war crimes against the Palestinians? </w:t>
      </w:r>
    </w:p>
    <w:p w14:paraId="7F1CF2DC" w14:textId="410B0286" w:rsidR="00CE0627" w:rsidRDefault="00362CB4" w:rsidP="006C59BB">
      <w:pPr>
        <w:jc w:val="both"/>
        <w:rPr>
          <w:rFonts w:ascii="Arial" w:hAnsi="Arial" w:cs="Arial"/>
        </w:rPr>
      </w:pPr>
      <w:r>
        <w:rPr>
          <w:rFonts w:ascii="Arial" w:hAnsi="Arial" w:cs="Arial"/>
        </w:rPr>
        <w:t>T</w:t>
      </w:r>
      <w:r w:rsidR="00CE0627" w:rsidRPr="004230E9">
        <w:rPr>
          <w:rFonts w:ascii="Arial" w:hAnsi="Arial" w:cs="Arial"/>
        </w:rPr>
        <w:t xml:space="preserve">he University </w:t>
      </w:r>
      <w:r w:rsidR="000B7104">
        <w:rPr>
          <w:rFonts w:ascii="Arial" w:hAnsi="Arial" w:cs="Arial"/>
        </w:rPr>
        <w:t xml:space="preserve">Investment </w:t>
      </w:r>
      <w:r w:rsidR="007C7EC2">
        <w:rPr>
          <w:rFonts w:ascii="Arial" w:hAnsi="Arial" w:cs="Arial"/>
        </w:rPr>
        <w:t xml:space="preserve">Policy also incorporates </w:t>
      </w:r>
      <w:r w:rsidR="00B463B7" w:rsidRPr="004230E9">
        <w:rPr>
          <w:rFonts w:ascii="Arial" w:hAnsi="Arial" w:cs="Arial"/>
        </w:rPr>
        <w:t xml:space="preserve">Environmental, Social and Governance (ESG) </w:t>
      </w:r>
      <w:r w:rsidR="004230E9" w:rsidRPr="004230E9">
        <w:rPr>
          <w:rFonts w:ascii="Arial" w:hAnsi="Arial" w:cs="Arial"/>
        </w:rPr>
        <w:t xml:space="preserve">factors into investment decision-making. </w:t>
      </w:r>
      <w:r w:rsidR="004230E9">
        <w:rPr>
          <w:rFonts w:ascii="Arial" w:hAnsi="Arial" w:cs="Arial"/>
        </w:rPr>
        <w:t xml:space="preserve">However, it is clear to me that the </w:t>
      </w:r>
      <w:r>
        <w:rPr>
          <w:rFonts w:ascii="Arial" w:hAnsi="Arial" w:cs="Arial"/>
        </w:rPr>
        <w:t xml:space="preserve">University has failed to take into account the ESG factors as a result of Israel’s illegal war against the Palestinians. I set these out as follows: </w:t>
      </w:r>
    </w:p>
    <w:p w14:paraId="59DF11A1" w14:textId="43045D59" w:rsidR="00362CB4" w:rsidRDefault="00362CB4" w:rsidP="00362CB4">
      <w:pPr>
        <w:pStyle w:val="ListParagraph"/>
        <w:numPr>
          <w:ilvl w:val="0"/>
          <w:numId w:val="10"/>
        </w:numPr>
        <w:jc w:val="both"/>
        <w:rPr>
          <w:rFonts w:ascii="Arial" w:hAnsi="Arial" w:cs="Arial"/>
        </w:rPr>
      </w:pPr>
      <w:r>
        <w:rPr>
          <w:rFonts w:ascii="Arial" w:hAnsi="Arial" w:cs="Arial"/>
        </w:rPr>
        <w:t xml:space="preserve">Water scarcity – </w:t>
      </w:r>
      <w:r w:rsidR="00497E97">
        <w:rPr>
          <w:rFonts w:ascii="Arial" w:hAnsi="Arial" w:cs="Arial"/>
        </w:rPr>
        <w:t xml:space="preserve">before </w:t>
      </w:r>
      <w:r w:rsidR="00060BF1">
        <w:rPr>
          <w:rFonts w:ascii="Arial" w:hAnsi="Arial" w:cs="Arial"/>
        </w:rPr>
        <w:t>7</w:t>
      </w:r>
      <w:r w:rsidR="00060BF1" w:rsidRPr="00060BF1">
        <w:rPr>
          <w:rFonts w:ascii="Arial" w:hAnsi="Arial" w:cs="Arial"/>
          <w:vertAlign w:val="superscript"/>
        </w:rPr>
        <w:t>th</w:t>
      </w:r>
      <w:r w:rsidR="00060BF1">
        <w:rPr>
          <w:rFonts w:ascii="Arial" w:hAnsi="Arial" w:cs="Arial"/>
        </w:rPr>
        <w:t xml:space="preserve"> </w:t>
      </w:r>
      <w:r w:rsidR="00497E97">
        <w:rPr>
          <w:rFonts w:ascii="Arial" w:hAnsi="Arial" w:cs="Arial"/>
        </w:rPr>
        <w:t xml:space="preserve">October 2023, </w:t>
      </w:r>
      <w:r>
        <w:rPr>
          <w:rFonts w:ascii="Arial" w:hAnsi="Arial" w:cs="Arial"/>
        </w:rPr>
        <w:t xml:space="preserve">97% of Gaza’s water </w:t>
      </w:r>
      <w:r w:rsidR="003E2F07">
        <w:rPr>
          <w:rFonts w:ascii="Arial" w:hAnsi="Arial" w:cs="Arial"/>
        </w:rPr>
        <w:t xml:space="preserve">was </w:t>
      </w:r>
      <w:r>
        <w:rPr>
          <w:rFonts w:ascii="Arial" w:hAnsi="Arial" w:cs="Arial"/>
        </w:rPr>
        <w:t xml:space="preserve">unfit for human consumption including 108 million </w:t>
      </w:r>
      <w:r w:rsidR="00497E97">
        <w:rPr>
          <w:rFonts w:ascii="Arial" w:hAnsi="Arial" w:cs="Arial"/>
        </w:rPr>
        <w:t>litres</w:t>
      </w:r>
      <w:r>
        <w:rPr>
          <w:rFonts w:ascii="Arial" w:hAnsi="Arial" w:cs="Arial"/>
        </w:rPr>
        <w:t xml:space="preserve"> of </w:t>
      </w:r>
      <w:r w:rsidR="00497E97">
        <w:rPr>
          <w:rFonts w:ascii="Arial" w:hAnsi="Arial" w:cs="Arial"/>
        </w:rPr>
        <w:t>untreated</w:t>
      </w:r>
      <w:r>
        <w:rPr>
          <w:rFonts w:ascii="Arial" w:hAnsi="Arial" w:cs="Arial"/>
        </w:rPr>
        <w:t xml:space="preserve"> sewage released int the sea daily due to Israel damaging the treatment plants</w:t>
      </w:r>
      <w:r w:rsidR="003E2F07">
        <w:rPr>
          <w:rFonts w:ascii="Arial" w:hAnsi="Arial" w:cs="Arial"/>
        </w:rPr>
        <w:t>. The water infrastructure has now been completely destroyed</w:t>
      </w:r>
      <w:r w:rsidR="003E2F07">
        <w:rPr>
          <w:rStyle w:val="FootnoteReference"/>
          <w:rFonts w:ascii="Arial" w:hAnsi="Arial" w:cs="Arial"/>
        </w:rPr>
        <w:footnoteReference w:id="5"/>
      </w:r>
      <w:r w:rsidR="003E2F07">
        <w:rPr>
          <w:rFonts w:ascii="Arial" w:hAnsi="Arial" w:cs="Arial"/>
        </w:rPr>
        <w:t xml:space="preserve">;  </w:t>
      </w:r>
    </w:p>
    <w:p w14:paraId="6EB2BB00" w14:textId="4F9204B6" w:rsidR="00362CB4" w:rsidRDefault="00362CB4" w:rsidP="00362CB4">
      <w:pPr>
        <w:pStyle w:val="ListParagraph"/>
        <w:numPr>
          <w:ilvl w:val="0"/>
          <w:numId w:val="10"/>
        </w:numPr>
        <w:jc w:val="both"/>
        <w:rPr>
          <w:rFonts w:ascii="Arial" w:hAnsi="Arial" w:cs="Arial"/>
        </w:rPr>
      </w:pPr>
      <w:r>
        <w:rPr>
          <w:rFonts w:ascii="Arial" w:hAnsi="Arial" w:cs="Arial"/>
        </w:rPr>
        <w:t xml:space="preserve">Agriculture – approximately </w:t>
      </w:r>
      <w:r w:rsidR="003E2F07">
        <w:rPr>
          <w:rFonts w:ascii="Arial" w:hAnsi="Arial" w:cs="Arial"/>
        </w:rPr>
        <w:t>22</w:t>
      </w:r>
      <w:r>
        <w:rPr>
          <w:rFonts w:ascii="Arial" w:hAnsi="Arial" w:cs="Arial"/>
        </w:rPr>
        <w:t>% of Gaza’s agricultural land had been destroyed or rendered inaccessible due to Israel</w:t>
      </w:r>
      <w:r w:rsidR="003E2F07">
        <w:rPr>
          <w:rFonts w:ascii="Arial" w:hAnsi="Arial" w:cs="Arial"/>
        </w:rPr>
        <w:t>’s</w:t>
      </w:r>
      <w:r>
        <w:rPr>
          <w:rFonts w:ascii="Arial" w:hAnsi="Arial" w:cs="Arial"/>
        </w:rPr>
        <w:t xml:space="preserve"> </w:t>
      </w:r>
      <w:r w:rsidR="003E2F07">
        <w:rPr>
          <w:rFonts w:ascii="Arial" w:hAnsi="Arial" w:cs="Arial"/>
        </w:rPr>
        <w:t>ground offensive. Israel has also destroyed approximately 70% of Gaza’s fishing fleet</w:t>
      </w:r>
      <w:r>
        <w:rPr>
          <w:rFonts w:ascii="Arial" w:hAnsi="Arial" w:cs="Arial"/>
        </w:rPr>
        <w:t xml:space="preserve">; </w:t>
      </w:r>
    </w:p>
    <w:p w14:paraId="4C97D1CA" w14:textId="61B44F9B" w:rsidR="00362CB4" w:rsidRDefault="00497E97" w:rsidP="00362CB4">
      <w:pPr>
        <w:pStyle w:val="ListParagraph"/>
        <w:numPr>
          <w:ilvl w:val="0"/>
          <w:numId w:val="10"/>
        </w:numPr>
        <w:jc w:val="both"/>
        <w:rPr>
          <w:rFonts w:ascii="Arial" w:hAnsi="Arial" w:cs="Arial"/>
        </w:rPr>
      </w:pPr>
      <w:r>
        <w:rPr>
          <w:rFonts w:ascii="Arial" w:hAnsi="Arial" w:cs="Arial"/>
        </w:rPr>
        <w:t xml:space="preserve">Energy crisis - </w:t>
      </w:r>
      <w:r w:rsidR="00362CB4">
        <w:rPr>
          <w:rFonts w:ascii="Arial" w:hAnsi="Arial" w:cs="Arial"/>
        </w:rPr>
        <w:t xml:space="preserve">Gaza’s powerplant </w:t>
      </w:r>
      <w:r>
        <w:rPr>
          <w:rFonts w:ascii="Arial" w:hAnsi="Arial" w:cs="Arial"/>
        </w:rPr>
        <w:t>ran out of fuel in October last year which has significantly affected essential services like hospital and water treatment facilities</w:t>
      </w:r>
      <w:r>
        <w:rPr>
          <w:rStyle w:val="FootnoteReference"/>
          <w:rFonts w:ascii="Arial" w:hAnsi="Arial" w:cs="Arial"/>
        </w:rPr>
        <w:footnoteReference w:id="6"/>
      </w:r>
      <w:r>
        <w:rPr>
          <w:rFonts w:ascii="Arial" w:hAnsi="Arial" w:cs="Arial"/>
        </w:rPr>
        <w:t xml:space="preserve">; </w:t>
      </w:r>
    </w:p>
    <w:p w14:paraId="3EB6BE3E" w14:textId="642AB405" w:rsidR="009C12CC" w:rsidRDefault="009C12CC" w:rsidP="00362CB4">
      <w:pPr>
        <w:pStyle w:val="ListParagraph"/>
        <w:numPr>
          <w:ilvl w:val="0"/>
          <w:numId w:val="10"/>
        </w:numPr>
        <w:jc w:val="both"/>
        <w:rPr>
          <w:rFonts w:ascii="Arial" w:hAnsi="Arial" w:cs="Arial"/>
        </w:rPr>
      </w:pPr>
      <w:r>
        <w:rPr>
          <w:rFonts w:ascii="Arial" w:hAnsi="Arial" w:cs="Arial"/>
        </w:rPr>
        <w:t xml:space="preserve">Environment – Israel has destroyed most of the Gaza strip leaving it mostly uninhabitable. It has produced 37 million tons of debris after destroying buildings of which </w:t>
      </w:r>
      <w:r w:rsidRPr="009C12CC">
        <w:rPr>
          <w:rFonts w:ascii="Arial" w:hAnsi="Arial" w:cs="Arial"/>
        </w:rPr>
        <w:t xml:space="preserve">900,000 tons </w:t>
      </w:r>
      <w:r>
        <w:rPr>
          <w:rFonts w:ascii="Arial" w:hAnsi="Arial" w:cs="Arial"/>
        </w:rPr>
        <w:t>is</w:t>
      </w:r>
      <w:r w:rsidRPr="009C12CC">
        <w:rPr>
          <w:rFonts w:ascii="Arial" w:hAnsi="Arial" w:cs="Arial"/>
        </w:rPr>
        <w:t xml:space="preserve"> toxic waste</w:t>
      </w:r>
      <w:r>
        <w:rPr>
          <w:rFonts w:ascii="Arial" w:hAnsi="Arial" w:cs="Arial"/>
        </w:rPr>
        <w:t xml:space="preserve"> which has placed Gazans at serious health risks.</w:t>
      </w:r>
      <w:r>
        <w:rPr>
          <w:rStyle w:val="FootnoteReference"/>
          <w:rFonts w:ascii="Arial" w:hAnsi="Arial" w:cs="Arial"/>
        </w:rPr>
        <w:footnoteReference w:id="7"/>
      </w:r>
      <w:r>
        <w:rPr>
          <w:rFonts w:ascii="Arial" w:hAnsi="Arial" w:cs="Arial"/>
        </w:rPr>
        <w:t xml:space="preserve"> According to the Social Science Research Network, emissions from the first 120 days of </w:t>
      </w:r>
      <w:r w:rsidR="00060BF1">
        <w:rPr>
          <w:rFonts w:ascii="Arial" w:hAnsi="Arial" w:cs="Arial"/>
        </w:rPr>
        <w:t xml:space="preserve">Israel’s </w:t>
      </w:r>
      <w:r>
        <w:rPr>
          <w:rFonts w:ascii="Arial" w:hAnsi="Arial" w:cs="Arial"/>
        </w:rPr>
        <w:t>war on Gaza exceed the annual emissions of</w:t>
      </w:r>
      <w:r w:rsidR="00060BF1">
        <w:rPr>
          <w:rFonts w:ascii="Arial" w:hAnsi="Arial" w:cs="Arial"/>
        </w:rPr>
        <w:t xml:space="preserve"> 26 countries and territories (90% attributed to Israel)</w:t>
      </w:r>
      <w:r w:rsidR="00060BF1">
        <w:rPr>
          <w:rStyle w:val="FootnoteReference"/>
          <w:rFonts w:ascii="Arial" w:hAnsi="Arial" w:cs="Arial"/>
        </w:rPr>
        <w:footnoteReference w:id="8"/>
      </w:r>
      <w:r w:rsidR="004D0DAF">
        <w:rPr>
          <w:rFonts w:ascii="Arial" w:hAnsi="Arial" w:cs="Arial"/>
        </w:rPr>
        <w:t>. It is estimated by experts that it would take 10 to 15 years to clear the rubble</w:t>
      </w:r>
      <w:r w:rsidR="00060BF1">
        <w:rPr>
          <w:rFonts w:ascii="Arial" w:hAnsi="Arial" w:cs="Arial"/>
        </w:rPr>
        <w:t>;</w:t>
      </w:r>
    </w:p>
    <w:p w14:paraId="1A9A30FE" w14:textId="7FC90195" w:rsidR="00497E97" w:rsidRPr="00DC71F9" w:rsidRDefault="00497E97" w:rsidP="00362CB4">
      <w:pPr>
        <w:pStyle w:val="ListParagraph"/>
        <w:numPr>
          <w:ilvl w:val="0"/>
          <w:numId w:val="10"/>
        </w:numPr>
        <w:jc w:val="both"/>
        <w:rPr>
          <w:rFonts w:ascii="Arial" w:hAnsi="Arial" w:cs="Arial"/>
          <w:i/>
          <w:iCs/>
        </w:rPr>
      </w:pPr>
      <w:r>
        <w:rPr>
          <w:rFonts w:ascii="Arial" w:hAnsi="Arial" w:cs="Arial"/>
        </w:rPr>
        <w:t>Humanitarian crisis – 80% of Gaza’s population relied on humanitarian aid since 2007 and this has now significantly increase</w:t>
      </w:r>
      <w:r w:rsidR="00DC71F9">
        <w:rPr>
          <w:rFonts w:ascii="Arial" w:hAnsi="Arial" w:cs="Arial"/>
        </w:rPr>
        <w:t xml:space="preserve">d. The UN issued a statement in January 2024, </w:t>
      </w:r>
      <w:r w:rsidR="00DC71F9" w:rsidRPr="00DC71F9">
        <w:rPr>
          <w:rFonts w:ascii="Arial" w:hAnsi="Arial" w:cs="Arial"/>
          <w:i/>
          <w:iCs/>
          <w:lang w:val="en-GB"/>
        </w:rPr>
        <w:t xml:space="preserve">“Currently every single person in Gaza is hungry, a quarter of the population are starving and struggling to find food and drinkable water, and famine is imminent. Pregnant women are not receiving adequate nutrition and healthcare, putting their lives at risk. In </w:t>
      </w:r>
      <w:proofErr w:type="gramStart"/>
      <w:r w:rsidR="00DC71F9" w:rsidRPr="00DC71F9">
        <w:rPr>
          <w:rFonts w:ascii="Arial" w:hAnsi="Arial" w:cs="Arial"/>
          <w:i/>
          <w:iCs/>
          <w:lang w:val="en-GB"/>
        </w:rPr>
        <w:t>addition</w:t>
      </w:r>
      <w:proofErr w:type="gramEnd"/>
      <w:r w:rsidR="00DC71F9" w:rsidRPr="00DC71F9">
        <w:rPr>
          <w:rFonts w:ascii="Arial" w:hAnsi="Arial" w:cs="Arial"/>
          <w:i/>
          <w:iCs/>
          <w:lang w:val="en-GB"/>
        </w:rPr>
        <w:t xml:space="preserve"> all children under five – 335,000 – are at high risk of severe malnutrition as the risk of famine conditions continues to increase, a whole generation is now in danger of suffering from stunting,” said the experts</w:t>
      </w:r>
      <w:r w:rsidR="00DC71F9">
        <w:rPr>
          <w:rFonts w:ascii="Arial" w:hAnsi="Arial" w:cs="Arial"/>
          <w:i/>
          <w:iCs/>
          <w:lang w:val="en-GB"/>
        </w:rPr>
        <w:t>”</w:t>
      </w:r>
      <w:r w:rsidR="00DC71F9">
        <w:rPr>
          <w:rStyle w:val="FootnoteReference"/>
          <w:rFonts w:ascii="Arial" w:hAnsi="Arial" w:cs="Arial"/>
          <w:i/>
          <w:iCs/>
          <w:lang w:val="en-GB"/>
        </w:rPr>
        <w:footnoteReference w:id="9"/>
      </w:r>
      <w:r w:rsidR="00DC71F9" w:rsidRPr="00DC71F9">
        <w:rPr>
          <w:rFonts w:ascii="Arial" w:hAnsi="Arial" w:cs="Arial"/>
          <w:i/>
          <w:iCs/>
          <w:lang w:val="en-GB"/>
        </w:rPr>
        <w:t>. </w:t>
      </w:r>
    </w:p>
    <w:p w14:paraId="0DF3D03E" w14:textId="58DC1BC3" w:rsidR="00362CB4" w:rsidRPr="004230E9" w:rsidRDefault="003E2F07" w:rsidP="006C59BB">
      <w:pPr>
        <w:jc w:val="both"/>
        <w:rPr>
          <w:rFonts w:ascii="Arial" w:hAnsi="Arial" w:cs="Arial"/>
        </w:rPr>
      </w:pPr>
      <w:r>
        <w:rPr>
          <w:rFonts w:ascii="Arial" w:hAnsi="Arial" w:cs="Arial"/>
        </w:rPr>
        <w:lastRenderedPageBreak/>
        <w:t xml:space="preserve">Human rights and ESG values should not only be a right for people living here in the West. They should and must be available to all people including those that are of an Arab descent. We cannot espouse values when we are not willing to address those that are suffering as a direct result of our </w:t>
      </w:r>
      <w:r w:rsidR="00ED67E2">
        <w:rPr>
          <w:rFonts w:ascii="Arial" w:hAnsi="Arial" w:cs="Arial"/>
        </w:rPr>
        <w:t xml:space="preserve">own conduct, in this case </w:t>
      </w:r>
      <w:r>
        <w:rPr>
          <w:rFonts w:ascii="Arial" w:hAnsi="Arial" w:cs="Arial"/>
        </w:rPr>
        <w:t>investments</w:t>
      </w:r>
      <w:r w:rsidR="00ED67E2">
        <w:rPr>
          <w:rFonts w:ascii="Arial" w:hAnsi="Arial" w:cs="Arial"/>
        </w:rPr>
        <w:t xml:space="preserve"> complicit in Israel’s war crimes</w:t>
      </w:r>
      <w:r>
        <w:rPr>
          <w:rFonts w:ascii="Arial" w:hAnsi="Arial" w:cs="Arial"/>
        </w:rPr>
        <w:t>.</w:t>
      </w:r>
      <w:r w:rsidR="00ED67E2">
        <w:rPr>
          <w:rFonts w:ascii="Arial" w:hAnsi="Arial" w:cs="Arial"/>
        </w:rPr>
        <w:t xml:space="preserve"> </w:t>
      </w:r>
      <w:r w:rsidR="00DC71F9" w:rsidRPr="00DC71F9">
        <w:rPr>
          <w:rFonts w:ascii="Arial" w:hAnsi="Arial" w:cs="Arial"/>
        </w:rPr>
        <w:t xml:space="preserve">The University has failed to adhere to its own ethical investment policy, </w:t>
      </w:r>
    </w:p>
    <w:p w14:paraId="3B6E8FFD" w14:textId="77777777" w:rsidR="00E07CC8" w:rsidRDefault="00475F43" w:rsidP="00622373">
      <w:pPr>
        <w:pStyle w:val="Body"/>
        <w:spacing w:line="300" w:lineRule="auto"/>
        <w:jc w:val="both"/>
        <w:rPr>
          <w:rFonts w:ascii="Arial" w:hAnsi="Arial" w:cs="Arial"/>
          <w:lang w:val="en-GB"/>
        </w:rPr>
      </w:pPr>
      <w:r w:rsidRPr="00172570">
        <w:rPr>
          <w:rFonts w:ascii="Arial" w:hAnsi="Arial" w:cs="Arial"/>
          <w:lang w:val="en-GB"/>
        </w:rPr>
        <w:t>The brutality of the Israeli war crimes is evident to all of us</w:t>
      </w:r>
      <w:r w:rsidR="00A3134E" w:rsidRPr="00172570">
        <w:rPr>
          <w:rFonts w:ascii="Arial" w:hAnsi="Arial" w:cs="Arial"/>
          <w:lang w:val="en-GB"/>
        </w:rPr>
        <w:t xml:space="preserve"> who are</w:t>
      </w:r>
      <w:r w:rsidR="007C2911" w:rsidRPr="00172570">
        <w:rPr>
          <w:rFonts w:ascii="Arial" w:hAnsi="Arial" w:cs="Arial"/>
          <w:lang w:val="en-GB"/>
        </w:rPr>
        <w:t xml:space="preserve"> witnessing </w:t>
      </w:r>
      <w:r w:rsidR="00A3134E" w:rsidRPr="00172570">
        <w:rPr>
          <w:rFonts w:ascii="Arial" w:hAnsi="Arial" w:cs="Arial"/>
          <w:lang w:val="en-GB"/>
        </w:rPr>
        <w:t>the images and videos</w:t>
      </w:r>
      <w:r w:rsidR="007C2911" w:rsidRPr="00172570">
        <w:rPr>
          <w:rFonts w:ascii="Arial" w:hAnsi="Arial" w:cs="Arial"/>
          <w:lang w:val="en-GB"/>
        </w:rPr>
        <w:t xml:space="preserve"> from within Gaza</w:t>
      </w:r>
      <w:r w:rsidRPr="00172570">
        <w:rPr>
          <w:rFonts w:ascii="Arial" w:hAnsi="Arial" w:cs="Arial"/>
          <w:lang w:val="en-GB"/>
        </w:rPr>
        <w:t xml:space="preserve">. </w:t>
      </w:r>
      <w:r w:rsidR="007C2911" w:rsidRPr="00172570">
        <w:rPr>
          <w:rFonts w:ascii="Arial" w:hAnsi="Arial" w:cs="Arial"/>
          <w:lang w:val="en-GB"/>
        </w:rPr>
        <w:t>I am</w:t>
      </w:r>
      <w:r w:rsidRPr="00172570">
        <w:rPr>
          <w:rFonts w:ascii="Arial" w:hAnsi="Arial" w:cs="Arial"/>
          <w:lang w:val="en-GB"/>
        </w:rPr>
        <w:t xml:space="preserve"> astounded that </w:t>
      </w:r>
      <w:r w:rsidR="00056BE1">
        <w:rPr>
          <w:rFonts w:ascii="Arial" w:hAnsi="Arial" w:cs="Arial"/>
          <w:lang w:val="en-GB"/>
        </w:rPr>
        <w:t xml:space="preserve">the University </w:t>
      </w:r>
      <w:r w:rsidR="003A5DE7">
        <w:rPr>
          <w:rFonts w:ascii="Arial" w:hAnsi="Arial" w:cs="Arial"/>
          <w:lang w:val="en-GB"/>
        </w:rPr>
        <w:t xml:space="preserve">still </w:t>
      </w:r>
      <w:r w:rsidR="006F0E45">
        <w:rPr>
          <w:rFonts w:ascii="Arial" w:hAnsi="Arial" w:cs="Arial"/>
          <w:lang w:val="en-GB"/>
        </w:rPr>
        <w:t xml:space="preserve">has investments that support Israel’s war crimes and the continuation of its illegal occupation of the Palestinians </w:t>
      </w:r>
      <w:r w:rsidR="009A0AD3" w:rsidRPr="00172570">
        <w:rPr>
          <w:rFonts w:ascii="Arial" w:hAnsi="Arial" w:cs="Arial"/>
          <w:lang w:val="en-GB"/>
        </w:rPr>
        <w:t xml:space="preserve">despite the </w:t>
      </w:r>
      <w:r w:rsidRPr="00172570">
        <w:rPr>
          <w:rFonts w:ascii="Arial" w:hAnsi="Arial" w:cs="Arial"/>
          <w:lang w:val="en-GB"/>
        </w:rPr>
        <w:t xml:space="preserve">significant </w:t>
      </w:r>
      <w:r w:rsidR="00737DB2" w:rsidRPr="00172570">
        <w:rPr>
          <w:rFonts w:ascii="Arial" w:hAnsi="Arial" w:cs="Arial"/>
          <w:lang w:val="en-GB"/>
        </w:rPr>
        <w:t xml:space="preserve">death toll of recorded deaths which currently stands at </w:t>
      </w:r>
      <w:r w:rsidR="003555BD">
        <w:rPr>
          <w:rFonts w:ascii="Arial" w:hAnsi="Arial" w:cs="Arial"/>
          <w:lang w:val="en-GB"/>
        </w:rPr>
        <w:t>40</w:t>
      </w:r>
      <w:r w:rsidR="00737DB2" w:rsidRPr="00172570">
        <w:rPr>
          <w:rFonts w:ascii="Arial" w:hAnsi="Arial" w:cs="Arial"/>
          <w:lang w:val="en-GB"/>
        </w:rPr>
        <w:t>,</w:t>
      </w:r>
      <w:r w:rsidR="00705849">
        <w:rPr>
          <w:rFonts w:ascii="Arial" w:hAnsi="Arial" w:cs="Arial"/>
          <w:lang w:val="en-GB"/>
        </w:rPr>
        <w:t>0</w:t>
      </w:r>
      <w:r w:rsidR="003555BD">
        <w:rPr>
          <w:rFonts w:ascii="Arial" w:hAnsi="Arial" w:cs="Arial"/>
          <w:lang w:val="en-GB"/>
        </w:rPr>
        <w:t>05</w:t>
      </w:r>
      <w:r w:rsidR="00737DB2" w:rsidRPr="00172570">
        <w:rPr>
          <w:rFonts w:ascii="Arial" w:hAnsi="Arial" w:cs="Arial"/>
          <w:lang w:val="en-GB"/>
        </w:rPr>
        <w:t xml:space="preserve"> </w:t>
      </w:r>
      <w:r w:rsidRPr="00172570">
        <w:rPr>
          <w:rFonts w:ascii="Arial" w:hAnsi="Arial" w:cs="Arial"/>
          <w:lang w:val="en-GB"/>
        </w:rPr>
        <w:t xml:space="preserve">civilians killed including </w:t>
      </w:r>
      <w:r w:rsidR="00F204E1" w:rsidRPr="00172570">
        <w:rPr>
          <w:rFonts w:ascii="Arial" w:hAnsi="Arial" w:cs="Arial"/>
          <w:lang w:val="en-GB"/>
        </w:rPr>
        <w:t>at least 1</w:t>
      </w:r>
      <w:r w:rsidR="00705849">
        <w:rPr>
          <w:rFonts w:ascii="Arial" w:hAnsi="Arial" w:cs="Arial"/>
          <w:lang w:val="en-GB"/>
        </w:rPr>
        <w:t>5</w:t>
      </w:r>
      <w:r w:rsidRPr="00172570">
        <w:rPr>
          <w:rFonts w:ascii="Arial" w:hAnsi="Arial" w:cs="Arial"/>
          <w:lang w:val="en-GB"/>
        </w:rPr>
        <w:t>,</w:t>
      </w:r>
      <w:r w:rsidR="00705849">
        <w:rPr>
          <w:rFonts w:ascii="Arial" w:hAnsi="Arial" w:cs="Arial"/>
          <w:lang w:val="en-GB"/>
        </w:rPr>
        <w:t>7</w:t>
      </w:r>
      <w:r w:rsidRPr="00172570">
        <w:rPr>
          <w:rFonts w:ascii="Arial" w:hAnsi="Arial" w:cs="Arial"/>
          <w:lang w:val="en-GB"/>
        </w:rPr>
        <w:t>00 children</w:t>
      </w:r>
      <w:r w:rsidR="00737DB2" w:rsidRPr="00172570">
        <w:rPr>
          <w:rFonts w:ascii="Arial" w:hAnsi="Arial" w:cs="Arial"/>
          <w:lang w:val="en-GB"/>
        </w:rPr>
        <w:t xml:space="preserve"> and </w:t>
      </w:r>
      <w:r w:rsidR="00705849">
        <w:rPr>
          <w:rFonts w:ascii="Arial" w:hAnsi="Arial" w:cs="Arial"/>
          <w:lang w:val="en-GB"/>
        </w:rPr>
        <w:t>9</w:t>
      </w:r>
      <w:r w:rsidR="003555BD">
        <w:rPr>
          <w:rFonts w:ascii="Arial" w:hAnsi="Arial" w:cs="Arial"/>
          <w:lang w:val="en-GB"/>
        </w:rPr>
        <w:t>2</w:t>
      </w:r>
      <w:r w:rsidR="00B62D7C" w:rsidRPr="00172570">
        <w:rPr>
          <w:rFonts w:ascii="Arial" w:hAnsi="Arial" w:cs="Arial"/>
          <w:lang w:val="en-GB"/>
        </w:rPr>
        <w:t>,</w:t>
      </w:r>
      <w:r w:rsidR="003555BD">
        <w:rPr>
          <w:rFonts w:ascii="Arial" w:hAnsi="Arial" w:cs="Arial"/>
          <w:lang w:val="en-GB"/>
        </w:rPr>
        <w:t>401</w:t>
      </w:r>
      <w:r w:rsidR="00737DB2" w:rsidRPr="00172570">
        <w:rPr>
          <w:rFonts w:ascii="Arial" w:hAnsi="Arial" w:cs="Arial"/>
          <w:lang w:val="en-GB"/>
        </w:rPr>
        <w:t xml:space="preserve"> civilians </w:t>
      </w:r>
      <w:r w:rsidR="00B62D7C" w:rsidRPr="00172570">
        <w:rPr>
          <w:rFonts w:ascii="Arial" w:hAnsi="Arial" w:cs="Arial"/>
          <w:lang w:val="en-GB"/>
        </w:rPr>
        <w:t>injured</w:t>
      </w:r>
      <w:r w:rsidR="008F7E21" w:rsidRPr="00172570">
        <w:rPr>
          <w:rFonts w:ascii="Arial" w:hAnsi="Arial" w:cs="Arial"/>
          <w:lang w:val="en-GB"/>
        </w:rPr>
        <w:t>.</w:t>
      </w:r>
      <w:r w:rsidR="003555BD">
        <w:rPr>
          <w:rStyle w:val="FootnoteReference"/>
          <w:rFonts w:ascii="Arial" w:hAnsi="Arial" w:cs="Arial"/>
          <w:lang w:val="en-GB"/>
        </w:rPr>
        <w:footnoteReference w:id="10"/>
      </w:r>
      <w:r w:rsidR="003555BD">
        <w:rPr>
          <w:rFonts w:ascii="Arial" w:hAnsi="Arial" w:cs="Arial"/>
          <w:lang w:val="en-GB"/>
        </w:rPr>
        <w:t xml:space="preserve"> </w:t>
      </w:r>
      <w:r w:rsidR="00705849">
        <w:rPr>
          <w:rFonts w:ascii="Arial" w:hAnsi="Arial" w:cs="Arial"/>
          <w:lang w:val="en-GB"/>
        </w:rPr>
        <w:t>On 4</w:t>
      </w:r>
      <w:r w:rsidR="00705849" w:rsidRPr="00705849">
        <w:rPr>
          <w:rFonts w:ascii="Arial" w:hAnsi="Arial" w:cs="Arial"/>
          <w:vertAlign w:val="superscript"/>
          <w:lang w:val="en-GB"/>
        </w:rPr>
        <w:t>th</w:t>
      </w:r>
      <w:r w:rsidR="00705849">
        <w:rPr>
          <w:rFonts w:ascii="Arial" w:hAnsi="Arial" w:cs="Arial"/>
          <w:lang w:val="en-GB"/>
        </w:rPr>
        <w:t xml:space="preserve"> July, The Lancet issued a report estimating that the actual number of Palestinians killed </w:t>
      </w:r>
      <w:r w:rsidR="003555BD">
        <w:rPr>
          <w:rFonts w:ascii="Arial" w:hAnsi="Arial" w:cs="Arial"/>
          <w:lang w:val="en-GB"/>
        </w:rPr>
        <w:t xml:space="preserve">are far greater and </w:t>
      </w:r>
      <w:r w:rsidR="00705849">
        <w:rPr>
          <w:rFonts w:ascii="Arial" w:hAnsi="Arial" w:cs="Arial"/>
          <w:lang w:val="en-GB"/>
        </w:rPr>
        <w:t>could be 186,000.</w:t>
      </w:r>
      <w:r w:rsidR="00705849">
        <w:rPr>
          <w:rStyle w:val="FootnoteReference"/>
          <w:rFonts w:ascii="Arial" w:hAnsi="Arial" w:cs="Arial"/>
          <w:lang w:val="en-GB"/>
        </w:rPr>
        <w:footnoteReference w:id="11"/>
      </w:r>
      <w:r w:rsidR="00705849">
        <w:rPr>
          <w:rFonts w:ascii="Arial" w:hAnsi="Arial" w:cs="Arial"/>
          <w:lang w:val="en-GB"/>
        </w:rPr>
        <w:t xml:space="preserve">  </w:t>
      </w:r>
      <w:r w:rsidR="00737DB2" w:rsidRPr="00172570">
        <w:rPr>
          <w:rFonts w:ascii="Arial" w:hAnsi="Arial" w:cs="Arial"/>
          <w:lang w:val="en-GB"/>
        </w:rPr>
        <w:t>Israel is also now deliberately starving civilians in Gaza</w:t>
      </w:r>
      <w:r w:rsidR="00737DB2" w:rsidRPr="00172570">
        <w:rPr>
          <w:rStyle w:val="FootnoteReference"/>
          <w:rFonts w:ascii="Arial" w:hAnsi="Arial" w:cs="Arial"/>
          <w:lang w:val="en-GB"/>
        </w:rPr>
        <w:footnoteReference w:id="12"/>
      </w:r>
      <w:r w:rsidR="00737DB2" w:rsidRPr="00172570">
        <w:rPr>
          <w:rFonts w:ascii="Arial" w:hAnsi="Arial" w:cs="Arial"/>
          <w:lang w:val="en-GB"/>
        </w:rPr>
        <w:t xml:space="preserve"> which is a war crime.</w:t>
      </w:r>
      <w:r w:rsidR="00737DB2" w:rsidRPr="00172570">
        <w:rPr>
          <w:rStyle w:val="FootnoteReference"/>
          <w:rFonts w:ascii="Arial" w:hAnsi="Arial" w:cs="Arial"/>
          <w:lang w:val="en-GB"/>
        </w:rPr>
        <w:footnoteReference w:id="13"/>
      </w:r>
      <w:r w:rsidR="00737DB2" w:rsidRPr="00172570">
        <w:rPr>
          <w:rFonts w:ascii="Arial" w:hAnsi="Arial" w:cs="Arial"/>
          <w:lang w:val="en-GB"/>
        </w:rPr>
        <w:t xml:space="preserve"> There is ample evidence including video footage which highlights that Israel is indiscriminately killing Palestinian civilians or killing civilians including young children by intentionally starving them.</w:t>
      </w:r>
      <w:r w:rsidR="00051883" w:rsidRPr="00172570">
        <w:rPr>
          <w:rStyle w:val="FootnoteReference"/>
          <w:rFonts w:ascii="Arial" w:hAnsi="Arial" w:cs="Arial"/>
          <w:lang w:val="en-GB"/>
        </w:rPr>
        <w:footnoteReference w:id="14"/>
      </w:r>
      <w:r w:rsidR="00737DB2" w:rsidRPr="00172570">
        <w:rPr>
          <w:rFonts w:ascii="Arial" w:hAnsi="Arial" w:cs="Arial"/>
          <w:lang w:val="en-GB"/>
        </w:rPr>
        <w:t xml:space="preserve"> It is totally unacceptable to me that my </w:t>
      </w:r>
      <w:r w:rsidR="006F0E45">
        <w:rPr>
          <w:rFonts w:ascii="Arial" w:hAnsi="Arial" w:cs="Arial"/>
          <w:lang w:val="en-GB"/>
        </w:rPr>
        <w:t>University a</w:t>
      </w:r>
      <w:r w:rsidR="00737DB2" w:rsidRPr="00172570">
        <w:rPr>
          <w:rFonts w:ascii="Arial" w:hAnsi="Arial" w:cs="Arial"/>
          <w:lang w:val="en-GB"/>
        </w:rPr>
        <w:t xml:space="preserve">ids and abets the war crimes </w:t>
      </w:r>
      <w:r w:rsidR="006F0E45">
        <w:rPr>
          <w:rFonts w:ascii="Arial" w:hAnsi="Arial" w:cs="Arial"/>
          <w:lang w:val="en-GB"/>
        </w:rPr>
        <w:t xml:space="preserve">committed </w:t>
      </w:r>
      <w:r w:rsidR="00737DB2" w:rsidRPr="00172570">
        <w:rPr>
          <w:rFonts w:ascii="Arial" w:hAnsi="Arial" w:cs="Arial"/>
          <w:lang w:val="en-GB"/>
        </w:rPr>
        <w:t xml:space="preserve">by Israel. </w:t>
      </w:r>
    </w:p>
    <w:p w14:paraId="5FF8668C" w14:textId="2C5DE1D9" w:rsidR="00593BB5" w:rsidRPr="00172570" w:rsidRDefault="005433D3" w:rsidP="00622373">
      <w:pPr>
        <w:pStyle w:val="Body"/>
        <w:spacing w:line="300" w:lineRule="auto"/>
        <w:jc w:val="both"/>
        <w:rPr>
          <w:rFonts w:ascii="Arial" w:hAnsi="Arial" w:cs="Arial"/>
          <w:lang w:val="en-GB"/>
        </w:rPr>
      </w:pPr>
      <w:r>
        <w:rPr>
          <w:rFonts w:ascii="Arial" w:hAnsi="Arial" w:cs="Arial"/>
          <w:lang w:val="en-GB"/>
        </w:rPr>
        <w:t>T</w:t>
      </w:r>
      <w:r w:rsidR="00084C0A" w:rsidRPr="00172570">
        <w:rPr>
          <w:rFonts w:ascii="Arial" w:hAnsi="Arial" w:cs="Arial"/>
          <w:lang w:val="en-GB"/>
        </w:rPr>
        <w:t xml:space="preserve">here is ample evidence that atrocities and human rights violations </w:t>
      </w:r>
      <w:r w:rsidR="00084C0A" w:rsidRPr="00172570">
        <w:rPr>
          <w:rFonts w:ascii="Arial" w:hAnsi="Arial" w:cs="Arial"/>
          <w:u w:val="single"/>
          <w:lang w:val="en-GB"/>
        </w:rPr>
        <w:t>are</w:t>
      </w:r>
      <w:r w:rsidR="00084C0A" w:rsidRPr="00172570">
        <w:rPr>
          <w:rFonts w:ascii="Arial" w:hAnsi="Arial" w:cs="Arial"/>
          <w:lang w:val="en-GB"/>
        </w:rPr>
        <w:t xml:space="preserve"> being committed in Gaza </w:t>
      </w:r>
      <w:r w:rsidR="00E07CC8">
        <w:rPr>
          <w:rFonts w:ascii="Arial" w:hAnsi="Arial" w:cs="Arial"/>
          <w:lang w:val="en-GB"/>
        </w:rPr>
        <w:t xml:space="preserve">and the West Bank </w:t>
      </w:r>
      <w:r w:rsidR="00084C0A" w:rsidRPr="00172570">
        <w:rPr>
          <w:rFonts w:ascii="Arial" w:hAnsi="Arial" w:cs="Arial"/>
          <w:lang w:val="en-GB"/>
        </w:rPr>
        <w:t xml:space="preserve">by Israel. </w:t>
      </w:r>
      <w:r w:rsidR="00593BB5" w:rsidRPr="00172570">
        <w:rPr>
          <w:rFonts w:ascii="Arial" w:eastAsia="Times New Roman" w:hAnsi="Arial" w:cs="Arial"/>
          <w:bdr w:val="none" w:sz="0" w:space="0" w:color="auto" w:frame="1"/>
          <w:lang w:val="en-GB"/>
        </w:rPr>
        <w:t xml:space="preserve">I understand that </w:t>
      </w:r>
      <w:r w:rsidR="006F0E45">
        <w:rPr>
          <w:rFonts w:ascii="Arial" w:eastAsia="Times New Roman" w:hAnsi="Arial" w:cs="Arial"/>
          <w:bdr w:val="none" w:sz="0" w:space="0" w:color="auto" w:frame="1"/>
          <w:lang w:val="en-GB"/>
        </w:rPr>
        <w:t>my tuition fees are paid into the University’s investmen</w:t>
      </w:r>
      <w:r w:rsidR="009820E4">
        <w:rPr>
          <w:rFonts w:ascii="Arial" w:eastAsia="Times New Roman" w:hAnsi="Arial" w:cs="Arial"/>
          <w:bdr w:val="none" w:sz="0" w:space="0" w:color="auto" w:frame="1"/>
          <w:lang w:val="en-GB"/>
        </w:rPr>
        <w:t xml:space="preserve">t portfolio </w:t>
      </w:r>
      <w:r w:rsidR="00593BB5" w:rsidRPr="00172570">
        <w:rPr>
          <w:rFonts w:ascii="Arial" w:eastAsia="Times New Roman" w:hAnsi="Arial" w:cs="Arial"/>
          <w:bdr w:val="none" w:sz="0" w:space="0" w:color="auto" w:frame="1"/>
          <w:lang w:val="en-GB"/>
        </w:rPr>
        <w:t xml:space="preserve">which </w:t>
      </w:r>
      <w:r w:rsidR="00F4399A" w:rsidRPr="00172570">
        <w:rPr>
          <w:rFonts w:ascii="Arial" w:eastAsia="Times New Roman" w:hAnsi="Arial" w:cs="Arial"/>
          <w:bdr w:val="none" w:sz="0" w:space="0" w:color="auto" w:frame="1"/>
          <w:lang w:val="en-GB"/>
        </w:rPr>
        <w:t xml:space="preserve">in turn facilitates, in part, activities which can be deemed as criminal activities to which I am personally liable. </w:t>
      </w:r>
    </w:p>
    <w:p w14:paraId="52CE9A7F" w14:textId="658EF0B7" w:rsidR="0038752E" w:rsidRPr="00172570" w:rsidRDefault="0038752E" w:rsidP="00622373">
      <w:pPr>
        <w:pStyle w:val="Body"/>
        <w:spacing w:line="300" w:lineRule="auto"/>
        <w:jc w:val="both"/>
        <w:rPr>
          <w:rFonts w:ascii="Arial" w:hAnsi="Arial" w:cs="Arial"/>
          <w:lang w:val="en-GB"/>
        </w:rPr>
      </w:pPr>
      <w:r w:rsidRPr="00172570">
        <w:rPr>
          <w:rFonts w:ascii="Arial" w:hAnsi="Arial" w:cs="Arial"/>
          <w:lang w:val="en-GB"/>
        </w:rPr>
        <w:t xml:space="preserve">I set out the relevant legislation for you as follows: </w:t>
      </w:r>
    </w:p>
    <w:p w14:paraId="1CC59A4E" w14:textId="684E1B3D" w:rsidR="00F36AD5" w:rsidRPr="00172570" w:rsidRDefault="0038752E"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I</w:t>
      </w:r>
      <w:r w:rsidR="00F36AD5" w:rsidRPr="00172570">
        <w:rPr>
          <w:rFonts w:ascii="Arial" w:hAnsi="Arial" w:cs="Arial"/>
          <w:color w:val="auto"/>
          <w:lang w:val="en-GB"/>
        </w:rPr>
        <w:t>t is an offence for a person to comm</w:t>
      </w:r>
      <w:r w:rsidR="00412857" w:rsidRPr="00172570">
        <w:rPr>
          <w:rFonts w:ascii="Arial" w:hAnsi="Arial" w:cs="Arial"/>
          <w:color w:val="auto"/>
          <w:lang w:val="en-GB"/>
        </w:rPr>
        <w:t>it genocide, a crime against humanity</w:t>
      </w:r>
      <w:r w:rsidRPr="00172570">
        <w:rPr>
          <w:rFonts w:ascii="Arial" w:hAnsi="Arial" w:cs="Arial"/>
          <w:color w:val="auto"/>
          <w:lang w:val="en-GB"/>
        </w:rPr>
        <w:t xml:space="preserve"> (s.51 of the </w:t>
      </w:r>
      <w:bookmarkStart w:id="3" w:name="_Hlk159691425"/>
      <w:r w:rsidRPr="00172570">
        <w:rPr>
          <w:rFonts w:ascii="Arial" w:hAnsi="Arial" w:cs="Arial"/>
          <w:color w:val="auto"/>
          <w:lang w:val="en-GB"/>
        </w:rPr>
        <w:t>International Criminal Court Act 2001</w:t>
      </w:r>
      <w:bookmarkEnd w:id="3"/>
      <w:r w:rsidRPr="00172570">
        <w:rPr>
          <w:rFonts w:ascii="Arial" w:hAnsi="Arial" w:cs="Arial"/>
          <w:color w:val="auto"/>
          <w:lang w:val="en-GB"/>
        </w:rPr>
        <w:t xml:space="preserve">); </w:t>
      </w:r>
    </w:p>
    <w:p w14:paraId="7F4C934A" w14:textId="7C388537" w:rsidR="008A2D11" w:rsidRPr="00172570" w:rsidRDefault="008A2D11"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‘engage in conduct ancillary to </w:t>
      </w:r>
      <w:r w:rsidR="00C97AB6" w:rsidRPr="00172570">
        <w:rPr>
          <w:rFonts w:ascii="Arial" w:hAnsi="Arial" w:cs="Arial"/>
          <w:color w:val="auto"/>
          <w:lang w:val="en-GB"/>
        </w:rPr>
        <w:t xml:space="preserve">committing genocide (s.52 of the International Criminal Court Act 2001); </w:t>
      </w:r>
    </w:p>
    <w:p w14:paraId="170F4A22" w14:textId="7E4A7B79" w:rsidR="00C97AB6" w:rsidRPr="00172570" w:rsidRDefault="00C97AB6" w:rsidP="0038752E">
      <w:pPr>
        <w:pStyle w:val="Body"/>
        <w:numPr>
          <w:ilvl w:val="0"/>
          <w:numId w:val="1"/>
        </w:numPr>
        <w:spacing w:line="300" w:lineRule="auto"/>
        <w:jc w:val="both"/>
        <w:rPr>
          <w:rFonts w:ascii="Arial" w:hAnsi="Arial" w:cs="Arial"/>
          <w:color w:val="auto"/>
          <w:lang w:val="en-GB"/>
        </w:rPr>
      </w:pPr>
      <w:r w:rsidRPr="00172570">
        <w:rPr>
          <w:rFonts w:ascii="Arial" w:hAnsi="Arial" w:cs="Arial"/>
          <w:color w:val="auto"/>
          <w:lang w:val="en-GB"/>
        </w:rPr>
        <w:t xml:space="preserve">It is an offence for a person to aid or abet </w:t>
      </w:r>
      <w:r w:rsidR="00B6475C" w:rsidRPr="00172570">
        <w:rPr>
          <w:rFonts w:ascii="Arial" w:hAnsi="Arial" w:cs="Arial"/>
          <w:color w:val="auto"/>
          <w:lang w:val="en-GB"/>
        </w:rPr>
        <w:t xml:space="preserve">in the commission of the offence (s.55 of the International Criminal Court Act 2001); </w:t>
      </w:r>
    </w:p>
    <w:p w14:paraId="1D603200" w14:textId="3C73279F" w:rsidR="007B5FC4" w:rsidRPr="00172570" w:rsidRDefault="00377814" w:rsidP="007B5FC4">
      <w:pPr>
        <w:pStyle w:val="Body"/>
        <w:spacing w:line="300" w:lineRule="auto"/>
        <w:jc w:val="both"/>
        <w:rPr>
          <w:rFonts w:ascii="Arial" w:hAnsi="Arial" w:cs="Arial"/>
          <w:lang w:val="en-GB"/>
        </w:rPr>
      </w:pPr>
      <w:r w:rsidRPr="00172570">
        <w:rPr>
          <w:rFonts w:ascii="Arial" w:hAnsi="Arial" w:cs="Arial"/>
          <w:color w:val="auto"/>
          <w:lang w:val="en-GB"/>
        </w:rPr>
        <w:t>As highlighted above,</w:t>
      </w:r>
      <w:r w:rsidR="006F0E45">
        <w:rPr>
          <w:rFonts w:ascii="Arial" w:hAnsi="Arial" w:cs="Arial"/>
          <w:color w:val="auto"/>
          <w:lang w:val="en-GB"/>
        </w:rPr>
        <w:t xml:space="preserve"> </w:t>
      </w:r>
      <w:r w:rsidR="004B7F4E">
        <w:rPr>
          <w:rFonts w:ascii="Arial" w:hAnsi="Arial" w:cs="Arial"/>
          <w:color w:val="auto"/>
          <w:lang w:val="en-GB"/>
        </w:rPr>
        <w:t xml:space="preserve">it is a criminal offence to </w:t>
      </w:r>
      <w:r w:rsidRPr="00172570">
        <w:rPr>
          <w:rFonts w:ascii="Arial" w:hAnsi="Arial" w:cs="Arial"/>
          <w:lang w:val="en-GB"/>
        </w:rPr>
        <w:t xml:space="preserve">aid or abet </w:t>
      </w:r>
      <w:r w:rsidR="007B5FC4" w:rsidRPr="00172570">
        <w:rPr>
          <w:rFonts w:ascii="Arial" w:hAnsi="Arial" w:cs="Arial"/>
          <w:lang w:val="en-GB"/>
        </w:rPr>
        <w:t xml:space="preserve">complicity in Israel’s war crimes and genocide of the Palestinians. </w:t>
      </w:r>
      <w:r w:rsidR="00266F9E" w:rsidRPr="00172570">
        <w:rPr>
          <w:rFonts w:ascii="Arial" w:hAnsi="Arial" w:cs="Arial"/>
          <w:lang w:val="en-GB"/>
        </w:rPr>
        <w:t>P</w:t>
      </w:r>
      <w:r w:rsidR="007B5FC4" w:rsidRPr="00172570">
        <w:rPr>
          <w:rFonts w:ascii="Arial" w:hAnsi="Arial" w:cs="Arial"/>
          <w:lang w:val="en-GB"/>
        </w:rPr>
        <w:t xml:space="preserve">rosecution </w:t>
      </w:r>
      <w:r w:rsidR="00266F9E" w:rsidRPr="00172570">
        <w:rPr>
          <w:rFonts w:ascii="Arial" w:hAnsi="Arial" w:cs="Arial"/>
          <w:lang w:val="en-GB"/>
        </w:rPr>
        <w:t xml:space="preserve">of these offences has no time limit </w:t>
      </w:r>
      <w:r w:rsidR="007B5FC4" w:rsidRPr="00172570">
        <w:rPr>
          <w:rFonts w:ascii="Arial" w:hAnsi="Arial" w:cs="Arial"/>
          <w:lang w:val="en-GB"/>
        </w:rPr>
        <w:t>and c</w:t>
      </w:r>
      <w:r w:rsidR="00E322A2" w:rsidRPr="00172570">
        <w:rPr>
          <w:rFonts w:ascii="Arial" w:hAnsi="Arial" w:cs="Arial"/>
          <w:lang w:val="en-GB"/>
        </w:rPr>
        <w:t>arries a maximum sentence of 30 years imprisonment.</w:t>
      </w:r>
      <w:r w:rsidR="00C97AB6" w:rsidRPr="00172570">
        <w:rPr>
          <w:rStyle w:val="FootnoteReference"/>
          <w:rFonts w:ascii="Arial" w:hAnsi="Arial" w:cs="Arial"/>
          <w:lang w:val="en-GB"/>
        </w:rPr>
        <w:footnoteReference w:id="15"/>
      </w:r>
    </w:p>
    <w:p w14:paraId="471CEFE0" w14:textId="1FED6F08" w:rsidR="00376DBF" w:rsidRPr="00172570" w:rsidRDefault="00376DBF" w:rsidP="007B5FC4">
      <w:pPr>
        <w:pStyle w:val="Body"/>
        <w:spacing w:line="300" w:lineRule="auto"/>
        <w:jc w:val="both"/>
        <w:rPr>
          <w:rFonts w:ascii="Arial" w:hAnsi="Arial" w:cs="Arial"/>
          <w:u w:val="single"/>
          <w:lang w:val="en-GB"/>
        </w:rPr>
      </w:pPr>
      <w:bookmarkStart w:id="4" w:name="_Hlk160488246"/>
      <w:r w:rsidRPr="00172570">
        <w:rPr>
          <w:rFonts w:ascii="Arial" w:hAnsi="Arial" w:cs="Arial"/>
          <w:u w:val="single"/>
          <w:lang w:val="en-GB"/>
        </w:rPr>
        <w:t>International Arms Treaty</w:t>
      </w:r>
    </w:p>
    <w:p w14:paraId="730CE117" w14:textId="16AC126D" w:rsidR="005419D8"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It is also relevant here that t</w:t>
      </w:r>
      <w:r w:rsidR="00CC1E33" w:rsidRPr="00172570">
        <w:rPr>
          <w:rFonts w:ascii="Arial" w:hAnsi="Arial" w:cs="Arial"/>
          <w:lang w:val="en-GB"/>
        </w:rPr>
        <w:t>he UK ratified t</w:t>
      </w:r>
      <w:r w:rsidR="005419D8" w:rsidRPr="00172570">
        <w:rPr>
          <w:rFonts w:ascii="Arial" w:hAnsi="Arial" w:cs="Arial"/>
          <w:lang w:val="en-GB"/>
        </w:rPr>
        <w:t xml:space="preserve">he International Arms Treaty </w:t>
      </w:r>
      <w:r w:rsidR="00CC1E33" w:rsidRPr="00172570">
        <w:rPr>
          <w:rFonts w:ascii="Arial" w:hAnsi="Arial" w:cs="Arial"/>
          <w:lang w:val="en-GB"/>
        </w:rPr>
        <w:t>in 2014</w:t>
      </w:r>
      <w:r w:rsidR="006454FD" w:rsidRPr="00172570">
        <w:rPr>
          <w:rFonts w:ascii="Arial" w:hAnsi="Arial" w:cs="Arial"/>
          <w:lang w:val="en-GB"/>
        </w:rPr>
        <w:t xml:space="preserve">. The </w:t>
      </w:r>
      <w:r w:rsidR="006454FD" w:rsidRPr="00172570">
        <w:rPr>
          <w:rFonts w:ascii="Arial" w:hAnsi="Arial" w:cs="Arial"/>
          <w:i/>
          <w:iCs/>
          <w:lang w:val="en-GB"/>
        </w:rPr>
        <w:t xml:space="preserve">“Treaty sets common international standards for arms export controls, and puts international law and </w:t>
      </w:r>
      <w:r w:rsidR="006454FD" w:rsidRPr="00172570">
        <w:rPr>
          <w:rFonts w:ascii="Arial" w:hAnsi="Arial" w:cs="Arial"/>
          <w:i/>
          <w:iCs/>
          <w:lang w:val="en-GB"/>
        </w:rPr>
        <w:lastRenderedPageBreak/>
        <w:t>human rights at the heart of the global arms trade. The ATT has the real potential to reduce human suffering, and increase security across the globe.”</w:t>
      </w:r>
      <w:r w:rsidR="006454FD" w:rsidRPr="00172570">
        <w:rPr>
          <w:rStyle w:val="FootnoteReference"/>
          <w:rFonts w:ascii="Arial" w:hAnsi="Arial" w:cs="Arial"/>
          <w:lang w:val="en-GB"/>
        </w:rPr>
        <w:footnoteReference w:id="16"/>
      </w:r>
      <w:r w:rsidRPr="00172570">
        <w:rPr>
          <w:rFonts w:ascii="Arial" w:hAnsi="Arial" w:cs="Arial"/>
          <w:i/>
          <w:iCs/>
          <w:lang w:val="en-GB"/>
        </w:rPr>
        <w:t xml:space="preserve"> </w:t>
      </w:r>
      <w:r w:rsidR="006454FD" w:rsidRPr="00172570">
        <w:rPr>
          <w:rStyle w:val="FootnoteReference"/>
          <w:rFonts w:ascii="Arial" w:hAnsi="Arial" w:cs="Arial"/>
          <w:lang w:val="en-GB"/>
        </w:rPr>
        <w:footnoteReference w:id="17"/>
      </w:r>
    </w:p>
    <w:p w14:paraId="2B97B4BE" w14:textId="23122133" w:rsidR="008C45B5" w:rsidRPr="00172570" w:rsidRDefault="004C5AED" w:rsidP="007B5FC4">
      <w:pPr>
        <w:pStyle w:val="Body"/>
        <w:spacing w:line="300" w:lineRule="auto"/>
        <w:jc w:val="both"/>
        <w:rPr>
          <w:rFonts w:ascii="Arial" w:hAnsi="Arial" w:cs="Arial"/>
          <w:lang w:val="en-GB"/>
        </w:rPr>
      </w:pPr>
      <w:r w:rsidRPr="00172570">
        <w:rPr>
          <w:rFonts w:ascii="Arial" w:hAnsi="Arial" w:cs="Arial"/>
          <w:lang w:val="en-GB"/>
        </w:rPr>
        <w:t xml:space="preserve">There does not appear </w:t>
      </w:r>
      <w:r w:rsidR="003E1EC4">
        <w:rPr>
          <w:rFonts w:ascii="Arial" w:hAnsi="Arial" w:cs="Arial"/>
          <w:lang w:val="en-GB"/>
        </w:rPr>
        <w:t xml:space="preserve">have been </w:t>
      </w:r>
      <w:r w:rsidRPr="00172570">
        <w:rPr>
          <w:rFonts w:ascii="Arial" w:hAnsi="Arial" w:cs="Arial"/>
          <w:lang w:val="en-GB"/>
        </w:rPr>
        <w:t xml:space="preserve">any credible assessment of Britain’s arm sales to Israel in light of the ICJ </w:t>
      </w:r>
      <w:r w:rsidR="00376DBF" w:rsidRPr="00172570">
        <w:rPr>
          <w:rFonts w:ascii="Arial" w:hAnsi="Arial" w:cs="Arial"/>
          <w:lang w:val="en-GB"/>
        </w:rPr>
        <w:t xml:space="preserve">ruling and the countless pieces of evidence which show that the Israelis are at the very least indiscriminately killing Palestinians without care for the significantly high number of casualties including women and children.  </w:t>
      </w:r>
    </w:p>
    <w:bookmarkEnd w:id="4"/>
    <w:p w14:paraId="3690A3EC" w14:textId="65D8C00D" w:rsidR="004D1CE7" w:rsidRPr="00172570" w:rsidRDefault="004D1CE7" w:rsidP="004D1CE7">
      <w:pPr>
        <w:pStyle w:val="Body"/>
        <w:spacing w:line="300" w:lineRule="auto"/>
        <w:jc w:val="both"/>
        <w:rPr>
          <w:rFonts w:ascii="Arial" w:eastAsia="Arial" w:hAnsi="Arial" w:cs="Arial"/>
          <w:u w:val="single"/>
        </w:rPr>
      </w:pPr>
      <w:r w:rsidRPr="00172570">
        <w:rPr>
          <w:rFonts w:ascii="Arial" w:hAnsi="Arial"/>
          <w:u w:val="single"/>
        </w:rPr>
        <w:t>ICJ Ruling and Order</w:t>
      </w:r>
      <w:r w:rsidR="000C547A">
        <w:rPr>
          <w:rFonts w:ascii="Arial" w:hAnsi="Arial"/>
          <w:u w:val="single"/>
        </w:rPr>
        <w:t xml:space="preserve"> January 2024</w:t>
      </w:r>
    </w:p>
    <w:p w14:paraId="65ED6069" w14:textId="3F279752" w:rsidR="004D1CE7" w:rsidRPr="00172570" w:rsidRDefault="004D1CE7" w:rsidP="004D1CE7">
      <w:pPr>
        <w:pStyle w:val="Body"/>
        <w:spacing w:line="300" w:lineRule="auto"/>
        <w:jc w:val="both"/>
        <w:rPr>
          <w:rFonts w:ascii="Arial" w:eastAsia="Arial" w:hAnsi="Arial" w:cs="Arial"/>
        </w:rPr>
      </w:pPr>
      <w:r w:rsidRPr="00172570">
        <w:rPr>
          <w:rFonts w:ascii="Arial" w:hAnsi="Arial"/>
        </w:rPr>
        <w:t>On 26</w:t>
      </w:r>
      <w:r w:rsidRPr="00172570">
        <w:rPr>
          <w:rFonts w:ascii="Arial" w:hAnsi="Arial"/>
          <w:vertAlign w:val="superscript"/>
        </w:rPr>
        <w:t>th</w:t>
      </w:r>
      <w:r w:rsidRPr="00172570">
        <w:rPr>
          <w:rFonts w:ascii="Arial" w:hAnsi="Arial"/>
        </w:rPr>
        <w:t xml:space="preserve"> January 2024, the ICJ affirmed in their ruling</w:t>
      </w:r>
      <w:r w:rsidRPr="00172570">
        <w:rPr>
          <w:rFonts w:ascii="Arial" w:eastAsia="Arial" w:hAnsi="Arial" w:cs="Arial"/>
          <w:vertAlign w:val="superscript"/>
        </w:rPr>
        <w:footnoteReference w:id="18"/>
      </w:r>
      <w:r w:rsidRPr="00172570">
        <w:rPr>
          <w:rFonts w:ascii="Arial" w:hAnsi="Arial"/>
        </w:rPr>
        <w:t xml:space="preserve"> that on the facts presented </w:t>
      </w:r>
      <w:r w:rsidR="00172D14" w:rsidRPr="00172570">
        <w:rPr>
          <w:rFonts w:ascii="Arial" w:hAnsi="Arial"/>
        </w:rPr>
        <w:t xml:space="preserve">showed that it is </w:t>
      </w:r>
      <w:r w:rsidRPr="00172570">
        <w:rPr>
          <w:rFonts w:ascii="Arial" w:hAnsi="Arial"/>
        </w:rPr>
        <w:t>plausible that Israel's conduct amounts to genocide of the Palestinians in Gaza. To prevent genocidal acts from continuing, they further ordered that the following provisional measures must be taken by Israel:</w:t>
      </w:r>
    </w:p>
    <w:p w14:paraId="5E988784" w14:textId="30E12D26" w:rsidR="004D1CE7" w:rsidRPr="00172570" w:rsidRDefault="00C055FB" w:rsidP="00F109DA">
      <w:pPr>
        <w:pStyle w:val="ListParagraph"/>
        <w:numPr>
          <w:ilvl w:val="0"/>
          <w:numId w:val="3"/>
        </w:numPr>
        <w:spacing w:line="300" w:lineRule="auto"/>
        <w:ind w:left="720"/>
        <w:jc w:val="both"/>
        <w:rPr>
          <w:rFonts w:ascii="Arial" w:hAnsi="Arial"/>
          <w:i/>
          <w:iCs/>
        </w:rPr>
      </w:pPr>
      <w:r w:rsidRPr="00172570">
        <w:rPr>
          <w:rFonts w:ascii="Arial" w:hAnsi="Arial"/>
          <w:i/>
          <w:iCs/>
        </w:rPr>
        <w:t>“</w:t>
      </w:r>
      <w:r w:rsidR="004D1CE7" w:rsidRPr="00172570">
        <w:rPr>
          <w:rFonts w:ascii="Arial" w:hAnsi="Arial"/>
          <w:i/>
          <w:iCs/>
        </w:rPr>
        <w:t xml:space="preserve">By fifteen votes to two, </w:t>
      </w:r>
    </w:p>
    <w:p w14:paraId="1C93B7F5" w14:textId="77777777" w:rsidR="004D1CE7" w:rsidRPr="00172570" w:rsidRDefault="004D1CE7" w:rsidP="00F109DA">
      <w:pPr>
        <w:pStyle w:val="ListParagraph"/>
        <w:spacing w:line="300" w:lineRule="auto"/>
        <w:jc w:val="both"/>
        <w:rPr>
          <w:rFonts w:ascii="Arial" w:eastAsia="Arial" w:hAnsi="Arial" w:cs="Arial"/>
        </w:rPr>
      </w:pPr>
      <w:r w:rsidRPr="00172570">
        <w:rPr>
          <w:rFonts w:ascii="Arial" w:hAnsi="Arial"/>
          <w:i/>
          <w:iCs/>
        </w:rPr>
        <w:t>The State of Israel shall, in accordance with its obligations under the Convention on the Prevention and Punishment of the Crime of Genocide, in relation to Palestinians in Gaza, take all measures within its power to prevent the commission of all acts within the scope of Article II of this Convention, in particular:</w:t>
      </w:r>
    </w:p>
    <w:p w14:paraId="6A050625"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(a) killing members of the group; </w:t>
      </w:r>
    </w:p>
    <w:p w14:paraId="5DC9B8F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(b) causing serious bodily or mental harm to members of the group; </w:t>
      </w:r>
    </w:p>
    <w:p w14:paraId="1EC9E1C8" w14:textId="77777777" w:rsidR="004D1CE7" w:rsidRPr="00172570" w:rsidRDefault="004D1CE7" w:rsidP="004D1CE7">
      <w:pPr>
        <w:pStyle w:val="ListParagraph"/>
        <w:spacing w:line="300" w:lineRule="auto"/>
        <w:ind w:left="1440"/>
        <w:jc w:val="both"/>
        <w:rPr>
          <w:rFonts w:ascii="Arial" w:eastAsia="Arial" w:hAnsi="Arial" w:cs="Arial"/>
          <w:i/>
          <w:iCs/>
        </w:rPr>
      </w:pPr>
      <w:r w:rsidRPr="00172570">
        <w:rPr>
          <w:rFonts w:ascii="Arial" w:hAnsi="Arial"/>
          <w:i/>
          <w:iCs/>
        </w:rPr>
        <w:t xml:space="preserve">(c) deliberately inflicting on the group conditions of life calculated to bring about its physical destruction in whole or in part; and </w:t>
      </w:r>
    </w:p>
    <w:p w14:paraId="51B80116" w14:textId="127F6815" w:rsidR="004D1CE7" w:rsidRDefault="004D1CE7" w:rsidP="00376DBF">
      <w:pPr>
        <w:pStyle w:val="ListParagraph"/>
        <w:spacing w:line="300" w:lineRule="auto"/>
        <w:ind w:left="1440"/>
        <w:jc w:val="both"/>
        <w:rPr>
          <w:rFonts w:ascii="Arial" w:hAnsi="Arial"/>
          <w:i/>
          <w:iCs/>
        </w:rPr>
      </w:pPr>
      <w:r w:rsidRPr="00172570">
        <w:rPr>
          <w:rFonts w:ascii="Arial" w:hAnsi="Arial"/>
          <w:i/>
          <w:iCs/>
        </w:rPr>
        <w:t>(d) imposing measures intended to prevent births within the group.</w:t>
      </w:r>
      <w:r w:rsidR="00C055FB" w:rsidRPr="00172570">
        <w:rPr>
          <w:rFonts w:ascii="Arial" w:hAnsi="Arial"/>
          <w:i/>
          <w:iCs/>
        </w:rPr>
        <w:t>”</w:t>
      </w:r>
      <w:r w:rsidRPr="00172570">
        <w:rPr>
          <w:rStyle w:val="FootnoteReference"/>
          <w:rFonts w:ascii="Arial" w:hAnsi="Arial"/>
          <w:i/>
          <w:iCs/>
        </w:rPr>
        <w:footnoteReference w:id="19"/>
      </w:r>
    </w:p>
    <w:p w14:paraId="6422C3A6" w14:textId="77777777" w:rsidR="000C547A" w:rsidRDefault="000C547A" w:rsidP="00376DBF">
      <w:pPr>
        <w:pStyle w:val="ListParagraph"/>
        <w:spacing w:line="300" w:lineRule="auto"/>
        <w:ind w:left="1440"/>
        <w:jc w:val="both"/>
        <w:rPr>
          <w:rFonts w:ascii="Arial" w:hAnsi="Arial"/>
          <w:i/>
          <w:iCs/>
        </w:rPr>
      </w:pPr>
    </w:p>
    <w:p w14:paraId="0F14F45A" w14:textId="77777777" w:rsidR="007B7ACA" w:rsidRPr="007B7ACA" w:rsidRDefault="007B7ACA" w:rsidP="007B7ACA">
      <w:pPr>
        <w:pStyle w:val="ListParagraph"/>
        <w:spacing w:line="276" w:lineRule="auto"/>
        <w:ind w:left="0"/>
        <w:jc w:val="both"/>
        <w:rPr>
          <w:rFonts w:ascii="Arial" w:eastAsia="Arial" w:hAnsi="Arial" w:cs="Arial"/>
          <w:u w:val="single"/>
          <w:lang w:val="en-GB"/>
        </w:rPr>
      </w:pPr>
      <w:bookmarkStart w:id="5" w:name="_Hlk177535806"/>
      <w:r w:rsidRPr="007B7ACA">
        <w:rPr>
          <w:rFonts w:ascii="Arial" w:eastAsia="Arial" w:hAnsi="Arial" w:cs="Arial"/>
          <w:u w:val="single"/>
          <w:lang w:val="en-GB"/>
        </w:rPr>
        <w:t>ICJ Ruling July 2024</w:t>
      </w:r>
    </w:p>
    <w:p w14:paraId="31EEE7EA" w14:textId="64DFCCEB" w:rsidR="007B7ACA" w:rsidRPr="007B7ACA" w:rsidRDefault="007B7ACA" w:rsidP="007B7ACA">
      <w:pPr>
        <w:pStyle w:val="ListParagraph"/>
        <w:spacing w:line="276" w:lineRule="auto"/>
        <w:ind w:left="0"/>
        <w:jc w:val="both"/>
        <w:rPr>
          <w:rFonts w:ascii="Arial" w:eastAsia="Arial" w:hAnsi="Arial" w:cs="Arial"/>
          <w:lang w:val="en-GB"/>
        </w:rPr>
      </w:pPr>
      <w:r w:rsidRPr="007B7ACA">
        <w:rPr>
          <w:rFonts w:ascii="Arial" w:eastAsia="Arial" w:hAnsi="Arial" w:cs="Arial"/>
          <w:lang w:val="en-GB"/>
        </w:rPr>
        <w:t>Israeli settlements in the Occupied Palestinian Territories (OPT) are illegal under international law, as affirmed by the Fourth Geneva Convention which prohibits an occupying power from transferring its civilian population into the territory it occupies. There are several UN resolutions, including Security Council Resolution 446 (1979)</w:t>
      </w:r>
      <w:r w:rsidRPr="007B7ACA">
        <w:rPr>
          <w:rFonts w:ascii="Arial" w:eastAsia="Arial" w:hAnsi="Arial" w:cs="Arial"/>
          <w:vertAlign w:val="superscript"/>
          <w:lang w:val="en-GB"/>
        </w:rPr>
        <w:footnoteReference w:id="20"/>
      </w:r>
      <w:r w:rsidRPr="007B7ACA">
        <w:rPr>
          <w:rFonts w:ascii="Arial" w:eastAsia="Arial" w:hAnsi="Arial" w:cs="Arial"/>
          <w:lang w:val="en-GB"/>
        </w:rPr>
        <w:t>, Resolution 478 (1980)</w:t>
      </w:r>
      <w:r w:rsidRPr="007B7ACA">
        <w:rPr>
          <w:rFonts w:ascii="Arial" w:eastAsia="Arial" w:hAnsi="Arial" w:cs="Arial"/>
          <w:vertAlign w:val="superscript"/>
          <w:lang w:val="en-GB"/>
        </w:rPr>
        <w:footnoteReference w:id="21"/>
      </w:r>
      <w:r w:rsidRPr="007B7ACA">
        <w:rPr>
          <w:rFonts w:ascii="Arial" w:eastAsia="Arial" w:hAnsi="Arial" w:cs="Arial"/>
          <w:lang w:val="en-GB"/>
        </w:rPr>
        <w:t xml:space="preserve"> and Resolution 2334 (2016)</w:t>
      </w:r>
      <w:r w:rsidRPr="007B7ACA">
        <w:rPr>
          <w:rFonts w:ascii="Arial" w:eastAsia="Arial" w:hAnsi="Arial" w:cs="Arial"/>
          <w:vertAlign w:val="superscript"/>
          <w:lang w:val="en-GB"/>
        </w:rPr>
        <w:footnoteReference w:id="22"/>
      </w:r>
      <w:r w:rsidRPr="007B7ACA">
        <w:rPr>
          <w:rFonts w:ascii="Arial" w:eastAsia="Arial" w:hAnsi="Arial" w:cs="Arial"/>
          <w:lang w:val="en-GB"/>
        </w:rPr>
        <w:t>, which condemn settlement expansion as a violation that threatens peace and the viability of a Palestinian state. The ICJ, in its 2004 advisory opinion, confirmed the illegality of both settlements and Israel’s separation wall, emphasising that these actions obstruct Palestinian self-determination.</w:t>
      </w:r>
    </w:p>
    <w:p w14:paraId="3543DB94" w14:textId="77777777" w:rsidR="007B7ACA" w:rsidRPr="007B7ACA" w:rsidRDefault="007B7ACA" w:rsidP="007B7ACA">
      <w:pPr>
        <w:pStyle w:val="ListParagraph"/>
        <w:spacing w:line="276" w:lineRule="auto"/>
        <w:ind w:left="0"/>
        <w:jc w:val="both"/>
        <w:rPr>
          <w:rFonts w:ascii="Arial" w:eastAsia="Arial" w:hAnsi="Arial" w:cs="Arial"/>
          <w:i/>
          <w:iCs/>
          <w:lang w:val="en-GB"/>
        </w:rPr>
      </w:pPr>
      <w:r w:rsidRPr="007B7ACA">
        <w:rPr>
          <w:rFonts w:ascii="Arial" w:eastAsia="Arial" w:hAnsi="Arial" w:cs="Arial"/>
          <w:lang w:val="en-GB"/>
        </w:rPr>
        <w:lastRenderedPageBreak/>
        <w:t>More recently, on 19 July 2024, the ICJ declared Israel’s continued presence and settlement activities in these territories are unlawful ‘along with the associated settlement regime, annexation and use of natural resources. The Court added that Israel's legislation and measures violate the international prohibition on racial segregation and apartheid.’</w:t>
      </w:r>
      <w:r w:rsidRPr="007B7ACA">
        <w:rPr>
          <w:rFonts w:ascii="Arial" w:eastAsia="Arial" w:hAnsi="Arial" w:cs="Arial"/>
          <w:vertAlign w:val="superscript"/>
          <w:lang w:val="en-GB"/>
        </w:rPr>
        <w:footnoteReference w:id="23"/>
      </w:r>
      <w:r w:rsidRPr="007B7ACA">
        <w:rPr>
          <w:rFonts w:ascii="Arial" w:eastAsia="Arial" w:hAnsi="Arial" w:cs="Arial"/>
          <w:lang w:val="en-GB"/>
        </w:rPr>
        <w:t xml:space="preserve"> The ICJ emphasised that all states are obligated not to recognise the illegal situation and to ensure Israel ceases its settlement activities and provides reparations. Israel has accelerated its settlement building. On 8 March 2024, UN Human Rights Chief, Volker Turk said </w:t>
      </w:r>
      <w:r w:rsidRPr="007B7ACA">
        <w:rPr>
          <w:rFonts w:ascii="Arial" w:eastAsia="Arial" w:hAnsi="Arial" w:cs="Arial"/>
          <w:i/>
          <w:iCs/>
          <w:lang w:val="en-GB"/>
        </w:rPr>
        <w:t>“the establishment and continuing expansion of settlements amount to the transfer by Israel of its own civilian population into the territories that it occupies, which amounts to a war crime under international law.”</w:t>
      </w:r>
      <w:r w:rsidRPr="007B7ACA">
        <w:rPr>
          <w:rFonts w:ascii="Arial" w:eastAsia="Arial" w:hAnsi="Arial" w:cs="Arial"/>
          <w:i/>
          <w:iCs/>
          <w:vertAlign w:val="superscript"/>
          <w:lang w:val="en-GB"/>
        </w:rPr>
        <w:footnoteReference w:id="24"/>
      </w:r>
      <w:r w:rsidRPr="007B7ACA">
        <w:rPr>
          <w:rFonts w:ascii="Arial" w:eastAsia="Arial" w:hAnsi="Arial" w:cs="Arial"/>
          <w:i/>
          <w:iCs/>
          <w:lang w:val="en-GB"/>
        </w:rPr>
        <w:t xml:space="preserve"> </w:t>
      </w:r>
      <w:r w:rsidRPr="007B7ACA">
        <w:rPr>
          <w:rFonts w:ascii="Arial" w:eastAsia="Arial" w:hAnsi="Arial" w:cs="Arial"/>
          <w:lang w:val="en-GB"/>
        </w:rPr>
        <w:t>The UN report also found</w:t>
      </w:r>
      <w:r w:rsidRPr="007B7ACA">
        <w:rPr>
          <w:rFonts w:ascii="Arial" w:eastAsia="Arial" w:hAnsi="Arial" w:cs="Arial"/>
          <w:i/>
          <w:iCs/>
          <w:lang w:val="en-GB"/>
        </w:rPr>
        <w:t xml:space="preserve"> “that the policies of the current Israeli Government appear aligned, to an unprecedented extent, with the goals of the Israeli settler movement to expand long-term control over the West Bank, including East Jerusalem, and to steadily integrate this occupied territory into the State of Israel.”</w:t>
      </w:r>
      <w:r w:rsidRPr="007B7ACA">
        <w:rPr>
          <w:rFonts w:ascii="Arial" w:eastAsia="Arial" w:hAnsi="Arial" w:cs="Arial"/>
          <w:i/>
          <w:iCs/>
          <w:vertAlign w:val="superscript"/>
          <w:lang w:val="en-GB"/>
        </w:rPr>
        <w:footnoteReference w:id="25"/>
      </w:r>
    </w:p>
    <w:bookmarkEnd w:id="5"/>
    <w:p w14:paraId="2D982E85" w14:textId="117BE7D5" w:rsidR="000E0B18" w:rsidRPr="00172570" w:rsidRDefault="007C7EC2" w:rsidP="007B5FC4">
      <w:pPr>
        <w:pStyle w:val="Body"/>
        <w:spacing w:line="300" w:lineRule="auto"/>
        <w:jc w:val="both"/>
        <w:rPr>
          <w:rFonts w:ascii="Arial" w:hAnsi="Arial" w:cs="Arial"/>
          <w:u w:val="single"/>
          <w:lang w:val="en-GB"/>
        </w:rPr>
      </w:pPr>
      <w:r>
        <w:rPr>
          <w:rFonts w:ascii="Arial" w:hAnsi="Arial" w:cs="Arial"/>
          <w:u w:val="single"/>
          <w:lang w:val="en-GB"/>
        </w:rPr>
        <w:t>University of</w:t>
      </w:r>
      <w:r w:rsidR="001C17D9">
        <w:rPr>
          <w:rFonts w:ascii="Arial" w:hAnsi="Arial" w:cs="Arial"/>
          <w:u w:val="single"/>
          <w:lang w:val="en-GB"/>
        </w:rPr>
        <w:t xml:space="preserve"> </w:t>
      </w:r>
      <w:r w:rsidR="00BB5BC3">
        <w:rPr>
          <w:rFonts w:ascii="Arial" w:hAnsi="Arial" w:cs="Arial"/>
          <w:u w:val="single"/>
          <w:lang w:val="en-GB"/>
        </w:rPr>
        <w:t>Manchester</w:t>
      </w:r>
      <w:r w:rsidR="000E0B18" w:rsidRPr="00D836A9">
        <w:rPr>
          <w:rFonts w:ascii="Arial" w:hAnsi="Arial" w:cs="Arial"/>
          <w:u w:val="single"/>
          <w:lang w:val="en-GB"/>
        </w:rPr>
        <w:t xml:space="preserve"> complicity</w:t>
      </w:r>
    </w:p>
    <w:p w14:paraId="00120B94" w14:textId="77777777" w:rsidR="005E23D2" w:rsidRPr="00172570" w:rsidRDefault="00250B9A" w:rsidP="007B5FC4">
      <w:pPr>
        <w:pStyle w:val="Body"/>
        <w:spacing w:line="300" w:lineRule="auto"/>
        <w:jc w:val="both"/>
        <w:rPr>
          <w:rFonts w:ascii="Arial" w:hAnsi="Arial" w:cs="Arial"/>
          <w:lang w:val="en-GB"/>
        </w:rPr>
      </w:pPr>
      <w:r w:rsidRPr="00172570">
        <w:rPr>
          <w:rFonts w:ascii="Arial" w:hAnsi="Arial" w:cs="Arial"/>
          <w:lang w:val="en-GB"/>
        </w:rPr>
        <w:t>On 8 December 2023, Human Rights Watch, Amnesty International, Campaign Against Arms Trade as well as other civil rights organisations wrote to Government calling for an immediate halt to UK arms transfers to Israel. The Government decided to take no action</w:t>
      </w:r>
      <w:r w:rsidR="009663E7" w:rsidRPr="00172570">
        <w:rPr>
          <w:rFonts w:ascii="Arial" w:hAnsi="Arial" w:cs="Arial"/>
          <w:lang w:val="en-GB"/>
        </w:rPr>
        <w:t xml:space="preserve"> despite the flagrant disregard of international law by Israel in Gaza.</w:t>
      </w:r>
      <w:r w:rsidR="009C5B85" w:rsidRPr="00172570">
        <w:rPr>
          <w:rStyle w:val="FootnoteReference"/>
          <w:rFonts w:ascii="Arial" w:hAnsi="Arial" w:cs="Arial"/>
          <w:lang w:val="en-GB"/>
        </w:rPr>
        <w:footnoteReference w:id="26"/>
      </w:r>
      <w:r w:rsidR="009C5B85" w:rsidRPr="00172570">
        <w:rPr>
          <w:rFonts w:ascii="Arial" w:hAnsi="Arial" w:cs="Arial"/>
          <w:lang w:val="en-GB"/>
        </w:rPr>
        <w:t xml:space="preserve"> </w:t>
      </w:r>
    </w:p>
    <w:p w14:paraId="23F444F7" w14:textId="32A475BF" w:rsidR="000E0B18" w:rsidRPr="00172570" w:rsidRDefault="003E1EC4" w:rsidP="007B5FC4">
      <w:pPr>
        <w:pStyle w:val="Body"/>
        <w:spacing w:line="300" w:lineRule="auto"/>
        <w:jc w:val="both"/>
        <w:rPr>
          <w:rFonts w:ascii="Arial" w:hAnsi="Arial" w:cs="Arial"/>
          <w:lang w:val="en-GB"/>
        </w:rPr>
      </w:pPr>
      <w:r w:rsidRPr="003E1EC4">
        <w:rPr>
          <w:rFonts w:ascii="Arial" w:hAnsi="Arial" w:cs="Arial"/>
          <w:lang w:val="en-GB"/>
        </w:rPr>
        <w:t xml:space="preserve">Since the start of Israel’s military action, </w:t>
      </w:r>
      <w:r w:rsidR="00E07CC8" w:rsidRPr="00172570">
        <w:rPr>
          <w:rFonts w:ascii="Arial" w:hAnsi="Arial" w:cs="Arial"/>
          <w:color w:val="auto"/>
          <w:lang w:val="en-GB"/>
        </w:rPr>
        <w:t>31</w:t>
      </w:r>
      <w:r w:rsidR="00E07CC8" w:rsidRPr="00172570">
        <w:rPr>
          <w:rFonts w:ascii="Arial" w:hAnsi="Arial" w:cs="Arial"/>
          <w:lang w:val="en-GB"/>
        </w:rPr>
        <w:t xml:space="preserve">,184 Palestinians </w:t>
      </w:r>
      <w:r w:rsidR="00E07CC8">
        <w:rPr>
          <w:rFonts w:ascii="Arial" w:hAnsi="Arial" w:cs="Arial"/>
          <w:lang w:val="en-GB"/>
        </w:rPr>
        <w:t>were</w:t>
      </w:r>
      <w:r w:rsidR="00E07CC8" w:rsidRPr="00172570">
        <w:rPr>
          <w:rFonts w:ascii="Arial" w:hAnsi="Arial" w:cs="Arial"/>
          <w:lang w:val="en-GB"/>
        </w:rPr>
        <w:t xml:space="preserve"> killed in </w:t>
      </w:r>
      <w:r>
        <w:rPr>
          <w:rFonts w:ascii="Arial" w:hAnsi="Arial" w:cs="Arial"/>
          <w:lang w:val="en-GB"/>
        </w:rPr>
        <w:t xml:space="preserve">the first </w:t>
      </w:r>
      <w:r w:rsidR="00E07CC8" w:rsidRPr="00172570">
        <w:rPr>
          <w:rFonts w:ascii="Arial" w:hAnsi="Arial" w:cs="Arial"/>
          <w:lang w:val="en-GB"/>
        </w:rPr>
        <w:t>4 months</w:t>
      </w:r>
      <w:r>
        <w:rPr>
          <w:rFonts w:ascii="Arial" w:hAnsi="Arial" w:cs="Arial"/>
          <w:lang w:val="en-GB"/>
        </w:rPr>
        <w:t xml:space="preserve"> alone</w:t>
      </w:r>
      <w:r w:rsidR="00E07CC8" w:rsidRPr="00172570">
        <w:rPr>
          <w:rFonts w:ascii="Arial" w:hAnsi="Arial" w:cs="Arial"/>
          <w:lang w:val="en-GB"/>
        </w:rPr>
        <w:t>.</w:t>
      </w:r>
      <w:r w:rsidR="00E07CC8" w:rsidRPr="00172570">
        <w:rPr>
          <w:rStyle w:val="FootnoteReference"/>
          <w:rFonts w:ascii="Arial" w:hAnsi="Arial" w:cs="Arial"/>
          <w:lang w:val="en-GB"/>
        </w:rPr>
        <w:footnoteReference w:id="27"/>
      </w:r>
      <w:r w:rsidR="00E07CC8" w:rsidRPr="00172570">
        <w:rPr>
          <w:rFonts w:ascii="Arial" w:hAnsi="Arial" w:cs="Arial"/>
          <w:lang w:val="en-GB"/>
        </w:rPr>
        <w:t xml:space="preserve"> The entire Gaza strip has been bombed. Israel has </w:t>
      </w:r>
      <w:r w:rsidR="00E07CC8">
        <w:rPr>
          <w:rFonts w:ascii="Arial" w:hAnsi="Arial" w:cs="Arial"/>
          <w:lang w:val="en-GB"/>
        </w:rPr>
        <w:t xml:space="preserve">repeatedly asked the Palestinians to relocate to certain parts of the Gaza strip only to then launch a military attack on civilian populated areas. </w:t>
      </w:r>
      <w:r w:rsidR="002151C0" w:rsidRPr="00172570">
        <w:rPr>
          <w:rFonts w:ascii="Arial" w:hAnsi="Arial" w:cs="Arial"/>
          <w:lang w:val="en-GB"/>
        </w:rPr>
        <w:t xml:space="preserve">In the words of Josep Borell, European Union Foreign Chief who recently said Israel says </w:t>
      </w:r>
      <w:r w:rsidR="002151C0" w:rsidRPr="00172570">
        <w:rPr>
          <w:rFonts w:ascii="Arial" w:hAnsi="Arial" w:cs="Arial"/>
          <w:i/>
          <w:iCs/>
          <w:lang w:val="en-GB"/>
        </w:rPr>
        <w:t>“They are going to evacuate. Where? To the moon? Where are they going to evacuate these people? If the international community believes that this is a slaughter, that too many people have been killed, maybe they need to think about the provision of arms.”</w:t>
      </w:r>
      <w:r w:rsidR="002151C0" w:rsidRPr="00172570">
        <w:rPr>
          <w:rStyle w:val="FootnoteReference"/>
          <w:rFonts w:ascii="Arial" w:hAnsi="Arial" w:cs="Arial"/>
          <w:i/>
          <w:iCs/>
          <w:lang w:val="en-GB"/>
        </w:rPr>
        <w:footnoteReference w:id="28"/>
      </w:r>
    </w:p>
    <w:p w14:paraId="080ECBD9" w14:textId="6E059346" w:rsidR="00475F43" w:rsidRPr="00172570" w:rsidRDefault="00804729" w:rsidP="00622373">
      <w:pPr>
        <w:pStyle w:val="Body"/>
        <w:spacing w:line="300" w:lineRule="auto"/>
        <w:jc w:val="both"/>
        <w:rPr>
          <w:rFonts w:ascii="Arial" w:hAnsi="Arial" w:cs="Arial"/>
          <w:lang w:val="en-GB"/>
        </w:rPr>
      </w:pPr>
      <w:r w:rsidRPr="00172570">
        <w:rPr>
          <w:rFonts w:ascii="Arial" w:hAnsi="Arial" w:cs="Arial"/>
        </w:rPr>
        <w:t>As stated in the </w:t>
      </w:r>
      <w:r w:rsidRPr="00172570">
        <w:rPr>
          <w:rStyle w:val="Emphasis"/>
          <w:rFonts w:ascii="Arial" w:hAnsi="Arial" w:cs="Arial"/>
        </w:rPr>
        <w:t>Nuremberg War Crimes Tribunal in 1946</w:t>
      </w:r>
    </w:p>
    <w:p w14:paraId="378BFD7E" w14:textId="115FE04E" w:rsidR="00C97F50" w:rsidRPr="00172570" w:rsidRDefault="00150891" w:rsidP="00622373">
      <w:pPr>
        <w:pStyle w:val="Body"/>
        <w:spacing w:line="300" w:lineRule="auto"/>
        <w:jc w:val="both"/>
        <w:rPr>
          <w:rFonts w:ascii="Arial" w:hAnsi="Arial" w:cs="Arial"/>
          <w:i/>
          <w:iCs/>
          <w:lang w:val="en-GB"/>
        </w:rPr>
      </w:pPr>
      <w:r w:rsidRPr="00172570">
        <w:rPr>
          <w:rFonts w:ascii="Arial" w:hAnsi="Arial" w:cs="Arial"/>
          <w:i/>
          <w:iCs/>
          <w:lang w:val="en-GB"/>
        </w:rPr>
        <w:t>“</w:t>
      </w:r>
      <w:r w:rsidR="00C97F50" w:rsidRPr="00172570">
        <w:rPr>
          <w:rFonts w:ascii="Arial" w:hAnsi="Arial" w:cs="Arial"/>
          <w:i/>
          <w:iCs/>
          <w:lang w:val="en-GB"/>
        </w:rPr>
        <w:t xml:space="preserve">The very essence of the Charter is that individuals have international duties which transcend the national obligations of obedience imposed </w:t>
      </w:r>
      <w:r w:rsidRPr="00172570">
        <w:rPr>
          <w:rFonts w:ascii="Arial" w:hAnsi="Arial" w:cs="Arial"/>
          <w:i/>
          <w:iCs/>
          <w:lang w:val="en-GB"/>
        </w:rPr>
        <w:t xml:space="preserve">by the individual State. He who violates the laws of war cannot obtain immunity while acting in pursuance of the authority of the State, if the State is authorising action moves outside its competence under international law…”   </w:t>
      </w:r>
    </w:p>
    <w:p w14:paraId="7D7A21DB" w14:textId="32249576" w:rsidR="00FF1B7F" w:rsidRDefault="00A80EA0" w:rsidP="00622373">
      <w:pPr>
        <w:pStyle w:val="Body"/>
        <w:spacing w:line="300" w:lineRule="auto"/>
        <w:jc w:val="both"/>
        <w:rPr>
          <w:rFonts w:ascii="Arial" w:hAnsi="Arial" w:cs="Arial"/>
          <w:lang w:val="en-GB"/>
        </w:rPr>
      </w:pPr>
      <w:r w:rsidRPr="00172570">
        <w:rPr>
          <w:rFonts w:ascii="Arial" w:hAnsi="Arial" w:cs="Arial"/>
          <w:lang w:val="en-GB"/>
        </w:rPr>
        <w:t xml:space="preserve">I understand </w:t>
      </w:r>
      <w:r w:rsidR="00177C7D" w:rsidRPr="00172570">
        <w:rPr>
          <w:rFonts w:ascii="Arial" w:hAnsi="Arial" w:cs="Arial"/>
          <w:lang w:val="en-GB"/>
        </w:rPr>
        <w:t xml:space="preserve">that </w:t>
      </w:r>
      <w:r w:rsidRPr="00172570">
        <w:rPr>
          <w:rFonts w:ascii="Arial" w:hAnsi="Arial" w:cs="Arial"/>
          <w:lang w:val="en-GB"/>
        </w:rPr>
        <w:t xml:space="preserve">it is personally and legally obligatory for me to stop any facilitation of supporting or financing warfare, crimes against humanity, possible genocide, fraud or any </w:t>
      </w:r>
      <w:r w:rsidRPr="00172570">
        <w:rPr>
          <w:rFonts w:ascii="Arial" w:hAnsi="Arial" w:cs="Arial"/>
          <w:lang w:val="en-GB"/>
        </w:rPr>
        <w:lastRenderedPageBreak/>
        <w:t xml:space="preserve">criminal activity that leads to the injury or death of innocent civilian men, women and children. As a </w:t>
      </w:r>
      <w:r w:rsidR="004B7F4E">
        <w:rPr>
          <w:rFonts w:ascii="Arial" w:hAnsi="Arial" w:cs="Arial"/>
          <w:lang w:val="en-GB"/>
        </w:rPr>
        <w:t>tuition fee payer to</w:t>
      </w:r>
      <w:r w:rsidR="001C17D9">
        <w:rPr>
          <w:rFonts w:ascii="Arial" w:hAnsi="Arial" w:cs="Arial"/>
          <w:lang w:val="en-GB"/>
        </w:rPr>
        <w:t xml:space="preserve"> </w:t>
      </w:r>
      <w:r w:rsidR="00BB5BC3">
        <w:rPr>
          <w:rFonts w:ascii="Arial" w:hAnsi="Arial" w:cs="Arial"/>
          <w:lang w:val="en-GB"/>
        </w:rPr>
        <w:t>Manchester</w:t>
      </w:r>
      <w:r w:rsidR="007C7EC2">
        <w:rPr>
          <w:rFonts w:ascii="Arial" w:hAnsi="Arial" w:cs="Arial"/>
          <w:lang w:val="en-GB"/>
        </w:rPr>
        <w:t xml:space="preserve"> </w:t>
      </w:r>
      <w:r w:rsidR="004B7F4E" w:rsidRPr="00D836A9">
        <w:rPr>
          <w:rFonts w:ascii="Arial" w:hAnsi="Arial" w:cs="Arial"/>
          <w:lang w:val="en-GB"/>
        </w:rPr>
        <w:t>University,</w:t>
      </w:r>
      <w:r w:rsidR="004B7F4E">
        <w:rPr>
          <w:rFonts w:ascii="Arial" w:hAnsi="Arial" w:cs="Arial"/>
          <w:lang w:val="en-GB"/>
        </w:rPr>
        <w:t xml:space="preserve"> </w:t>
      </w:r>
      <w:r w:rsidRPr="00172570">
        <w:rPr>
          <w:rFonts w:ascii="Arial" w:hAnsi="Arial" w:cs="Arial"/>
          <w:lang w:val="en-GB"/>
        </w:rPr>
        <w:t xml:space="preserve">I </w:t>
      </w:r>
      <w:r w:rsidR="00E07CC8">
        <w:rPr>
          <w:rFonts w:ascii="Arial" w:hAnsi="Arial" w:cs="Arial"/>
          <w:lang w:val="en-GB"/>
        </w:rPr>
        <w:t xml:space="preserve">demand that the University divests from </w:t>
      </w:r>
      <w:r w:rsidR="00CE757B">
        <w:rPr>
          <w:rFonts w:ascii="Arial" w:hAnsi="Arial" w:cs="Arial"/>
          <w:lang w:val="en-GB"/>
        </w:rPr>
        <w:t xml:space="preserve">its investments that are directly involved in upholding the illegal Israeli occupation and its war crimes against the Palestinians. I will also require proofs </w:t>
      </w:r>
      <w:r w:rsidRPr="00172570">
        <w:rPr>
          <w:rFonts w:ascii="Arial" w:hAnsi="Arial" w:cs="Arial"/>
          <w:lang w:val="en-GB"/>
        </w:rPr>
        <w:t xml:space="preserve">that </w:t>
      </w:r>
      <w:r w:rsidR="004B7F4E">
        <w:rPr>
          <w:rFonts w:ascii="Arial" w:hAnsi="Arial" w:cs="Arial"/>
          <w:lang w:val="en-GB"/>
        </w:rPr>
        <w:t xml:space="preserve">the University’s investments are </w:t>
      </w:r>
      <w:r w:rsidRPr="00172570">
        <w:rPr>
          <w:rFonts w:ascii="Arial" w:hAnsi="Arial" w:cs="Arial"/>
          <w:lang w:val="en-GB"/>
        </w:rPr>
        <w:t>in full accord</w:t>
      </w:r>
      <w:r w:rsidR="00BB4974" w:rsidRPr="00172570">
        <w:rPr>
          <w:rFonts w:ascii="Arial" w:hAnsi="Arial" w:cs="Arial"/>
          <w:lang w:val="en-GB"/>
        </w:rPr>
        <w:t>ance</w:t>
      </w:r>
      <w:r w:rsidRPr="00172570">
        <w:rPr>
          <w:rFonts w:ascii="Arial" w:hAnsi="Arial" w:cs="Arial"/>
          <w:lang w:val="en-GB"/>
        </w:rPr>
        <w:t xml:space="preserve"> with </w:t>
      </w:r>
      <w:r w:rsidR="004B7F4E">
        <w:rPr>
          <w:rFonts w:ascii="Arial" w:hAnsi="Arial" w:cs="Arial"/>
          <w:lang w:val="en-GB"/>
        </w:rPr>
        <w:t>its own charitable objectives</w:t>
      </w:r>
      <w:r w:rsidR="00CE757B">
        <w:rPr>
          <w:rFonts w:ascii="Arial" w:hAnsi="Arial" w:cs="Arial"/>
          <w:lang w:val="en-GB"/>
        </w:rPr>
        <w:t>,</w:t>
      </w:r>
      <w:r w:rsidR="004B7F4E">
        <w:rPr>
          <w:rStyle w:val="FootnoteReference"/>
          <w:rFonts w:ascii="Arial" w:hAnsi="Arial" w:cs="Arial"/>
          <w:lang w:val="en-GB"/>
        </w:rPr>
        <w:footnoteReference w:id="29"/>
      </w:r>
      <w:r w:rsidR="00CE757B">
        <w:rPr>
          <w:rFonts w:ascii="Arial" w:hAnsi="Arial" w:cs="Arial"/>
          <w:lang w:val="en-GB"/>
        </w:rPr>
        <w:t xml:space="preserve"> </w:t>
      </w:r>
      <w:proofErr w:type="spellStart"/>
      <w:proofErr w:type="gramStart"/>
      <w:r w:rsidR="00CE757B">
        <w:rPr>
          <w:rFonts w:ascii="Arial" w:hAnsi="Arial" w:cs="Arial"/>
          <w:lang w:val="en-GB"/>
        </w:rPr>
        <w:t>it’s</w:t>
      </w:r>
      <w:proofErr w:type="spellEnd"/>
      <w:proofErr w:type="gramEnd"/>
      <w:r w:rsidR="00CE757B">
        <w:rPr>
          <w:rFonts w:ascii="Arial" w:hAnsi="Arial" w:cs="Arial"/>
          <w:lang w:val="en-GB"/>
        </w:rPr>
        <w:t xml:space="preserve"> own investment policy, </w:t>
      </w:r>
      <w:r w:rsidR="00BB4974" w:rsidRPr="00172570">
        <w:rPr>
          <w:rFonts w:ascii="Arial" w:hAnsi="Arial" w:cs="Arial"/>
          <w:lang w:val="en-GB"/>
        </w:rPr>
        <w:t xml:space="preserve">UK law, </w:t>
      </w:r>
      <w:r w:rsidRPr="00172570">
        <w:rPr>
          <w:rFonts w:ascii="Arial" w:hAnsi="Arial" w:cs="Arial"/>
          <w:lang w:val="en-GB"/>
        </w:rPr>
        <w:t>UN Charter</w:t>
      </w:r>
      <w:r w:rsidR="00BB4974" w:rsidRPr="00172570">
        <w:rPr>
          <w:rFonts w:ascii="Arial" w:hAnsi="Arial" w:cs="Arial"/>
          <w:lang w:val="en-GB"/>
        </w:rPr>
        <w:t xml:space="preserve">, </w:t>
      </w:r>
      <w:r w:rsidRPr="00172570">
        <w:rPr>
          <w:rFonts w:ascii="Arial" w:hAnsi="Arial" w:cs="Arial"/>
          <w:lang w:val="en-GB"/>
        </w:rPr>
        <w:t>UN Declaration on Principles of International Law and international law.</w:t>
      </w:r>
      <w:r w:rsidR="004676C1" w:rsidRPr="00172570">
        <w:rPr>
          <w:rFonts w:ascii="Arial" w:hAnsi="Arial" w:cs="Arial"/>
          <w:lang w:val="en-GB"/>
        </w:rPr>
        <w:t xml:space="preserve"> </w:t>
      </w:r>
    </w:p>
    <w:p w14:paraId="22F2C67B" w14:textId="0FE91FEB" w:rsidR="00070050" w:rsidRPr="00172570" w:rsidRDefault="00070050" w:rsidP="00622373">
      <w:pPr>
        <w:pStyle w:val="Body"/>
        <w:spacing w:line="300" w:lineRule="auto"/>
        <w:jc w:val="both"/>
        <w:rPr>
          <w:rFonts w:ascii="Arial" w:hAnsi="Arial" w:cs="Arial"/>
          <w:i/>
          <w:iCs/>
          <w:lang w:val="en-GB"/>
        </w:rPr>
      </w:pPr>
      <w:r w:rsidRPr="00172570">
        <w:rPr>
          <w:rFonts w:ascii="Arial" w:hAnsi="Arial" w:cs="Arial"/>
          <w:lang w:val="en-GB"/>
        </w:rPr>
        <w:t xml:space="preserve">Alicia Kearns MP recently said </w:t>
      </w:r>
      <w:r w:rsidRPr="00172570">
        <w:rPr>
          <w:rFonts w:ascii="Arial" w:hAnsi="Arial" w:cs="Arial"/>
          <w:i/>
          <w:iCs/>
          <w:lang w:val="en-GB"/>
        </w:rPr>
        <w:t>“I remain convinced the government has completed its updated assessment on whether Israel is demonstrating a commitment to international humanitarian law, and that it has concluded that Israel is not demonstrating this commitment, which is the legal determination it has to make,” she said. “Transparency at this point is paramount, not least to uphold the international rules-based order.”</w:t>
      </w:r>
      <w:r w:rsidR="00D55EEA" w:rsidRPr="00172570">
        <w:rPr>
          <w:rStyle w:val="FootnoteReference"/>
          <w:rFonts w:ascii="Arial" w:hAnsi="Arial" w:cs="Arial"/>
          <w:i/>
          <w:iCs/>
          <w:lang w:val="en-GB"/>
        </w:rPr>
        <w:footnoteReference w:id="30"/>
      </w:r>
    </w:p>
    <w:p w14:paraId="58FD16BB" w14:textId="352118BC" w:rsidR="00D55EEA" w:rsidRPr="00172570" w:rsidRDefault="0002644D" w:rsidP="00D55EEA">
      <w:pPr>
        <w:pStyle w:val="Body"/>
        <w:spacing w:line="300" w:lineRule="auto"/>
        <w:jc w:val="both"/>
        <w:rPr>
          <w:rFonts w:ascii="Arial" w:hAnsi="Arial" w:cs="Arial"/>
          <w:i/>
          <w:iCs/>
          <w:lang w:val="en-GB"/>
        </w:rPr>
      </w:pPr>
      <w:r w:rsidRPr="00172570">
        <w:rPr>
          <w:rFonts w:ascii="Arial" w:hAnsi="Arial" w:cs="Arial"/>
          <w:lang w:val="en-GB"/>
        </w:rPr>
        <w:t xml:space="preserve">On 12 December 2023, </w:t>
      </w:r>
      <w:r w:rsidR="00D55EEA" w:rsidRPr="00172570">
        <w:rPr>
          <w:rFonts w:ascii="Arial" w:hAnsi="Arial" w:cs="Arial"/>
          <w:lang w:val="en-GB"/>
        </w:rPr>
        <w:t xml:space="preserve">Martin Docherty-Hughes MP </w:t>
      </w:r>
      <w:r w:rsidRPr="00172570">
        <w:rPr>
          <w:rFonts w:ascii="Arial" w:hAnsi="Arial" w:cs="Arial"/>
          <w:lang w:val="en-GB"/>
        </w:rPr>
        <w:t xml:space="preserve">stated in Parliament, </w:t>
      </w:r>
      <w:r w:rsidR="00D55EEA" w:rsidRPr="00172570">
        <w:rPr>
          <w:rFonts w:ascii="Arial" w:hAnsi="Arial" w:cs="Arial"/>
          <w:i/>
          <w:iCs/>
          <w:lang w:val="en-GB"/>
        </w:rPr>
        <w:t>“We are asking the UK Government to cease extending arms licences to the state of Israel and to immediately halt the export of weapons or components, as has been mentioned, to the state of Israel, alongside our calls for an immediate ceasefire, the recognition of the Palestinian state and the support of the International Criminal Court’s investigation into potential war crimes.</w:t>
      </w:r>
    </w:p>
    <w:p w14:paraId="666A029C" w14:textId="1703403E" w:rsidR="00D55EEA" w:rsidRPr="00172570" w:rsidRDefault="00D55EEA" w:rsidP="00D55EEA">
      <w:pPr>
        <w:pStyle w:val="Body"/>
        <w:spacing w:line="300" w:lineRule="auto"/>
        <w:jc w:val="both"/>
        <w:rPr>
          <w:rFonts w:ascii="Arial" w:hAnsi="Arial" w:cs="Arial"/>
          <w:i/>
          <w:iCs/>
          <w:lang w:val="en-GB"/>
        </w:rPr>
      </w:pPr>
      <w:r w:rsidRPr="00172570">
        <w:rPr>
          <w:rFonts w:ascii="Arial" w:hAnsi="Arial" w:cs="Arial"/>
          <w:i/>
          <w:iCs/>
          <w:lang w:val="en-GB"/>
        </w:rPr>
        <w:t xml:space="preserve">But let us be clear: the United Kingdom will pay dearly for the moral equivalence that its current policy entails. While even the Labour leadership might not want to say it, we in the SNP are more than happy to remind the Government of this fact: violating international law may be a great wheeze to try and impress Daily </w:t>
      </w:r>
      <w:r w:rsidR="0002644D" w:rsidRPr="00172570">
        <w:rPr>
          <w:rFonts w:ascii="Arial" w:hAnsi="Arial" w:cs="Arial"/>
          <w:i/>
          <w:iCs/>
          <w:lang w:val="en-GB"/>
        </w:rPr>
        <w:t xml:space="preserve">Mail </w:t>
      </w:r>
      <w:r w:rsidRPr="00172570">
        <w:rPr>
          <w:rFonts w:ascii="Arial" w:hAnsi="Arial" w:cs="Arial"/>
          <w:i/>
          <w:iCs/>
          <w:lang w:val="en-GB"/>
        </w:rPr>
        <w:t>readers, but it has a habit of eating away at the state’s international reputation like acid. In this case,</w:t>
      </w:r>
      <w:r w:rsidRPr="00172570">
        <w:rPr>
          <w:rFonts w:ascii="Arial" w:hAnsi="Arial" w:cs="Arial"/>
          <w:lang w:val="en-GB"/>
        </w:rPr>
        <w:t xml:space="preserve"> </w:t>
      </w:r>
      <w:r w:rsidRPr="00172570">
        <w:rPr>
          <w:rFonts w:ascii="Arial" w:hAnsi="Arial" w:cs="Arial"/>
          <w:i/>
          <w:iCs/>
          <w:lang w:val="en-GB"/>
        </w:rPr>
        <w:t>it is a great tragedy that the people of Gaza and others now involved in this conflict have to suffer so.”</w:t>
      </w:r>
      <w:r w:rsidR="00570D95">
        <w:rPr>
          <w:rStyle w:val="FootnoteReference"/>
          <w:rFonts w:ascii="Arial" w:hAnsi="Arial" w:cs="Arial"/>
          <w:i/>
          <w:iCs/>
          <w:lang w:val="en-GB"/>
        </w:rPr>
        <w:footnoteReference w:id="31"/>
      </w:r>
    </w:p>
    <w:p w14:paraId="4BAD67EA" w14:textId="33293B0A" w:rsidR="00274A6C" w:rsidRPr="00172570" w:rsidRDefault="00274A6C" w:rsidP="00622373">
      <w:pPr>
        <w:pStyle w:val="Body"/>
        <w:spacing w:line="300" w:lineRule="auto"/>
        <w:jc w:val="both"/>
        <w:rPr>
          <w:rFonts w:ascii="Arial" w:hAnsi="Arial" w:cs="Arial"/>
          <w:lang w:val="en-GB"/>
        </w:rPr>
      </w:pPr>
      <w:r w:rsidRPr="00274A6C">
        <w:rPr>
          <w:rFonts w:ascii="Arial" w:hAnsi="Arial" w:cs="Arial"/>
          <w:lang w:val="en-GB"/>
        </w:rPr>
        <w:t xml:space="preserve">On 25th March 2024, the UN’s </w:t>
      </w:r>
      <w:r>
        <w:rPr>
          <w:rFonts w:ascii="Arial" w:hAnsi="Arial" w:cs="Arial"/>
          <w:lang w:val="en-GB"/>
        </w:rPr>
        <w:t>S</w:t>
      </w:r>
      <w:r w:rsidRPr="00274A6C">
        <w:rPr>
          <w:rFonts w:ascii="Arial" w:hAnsi="Arial" w:cs="Arial"/>
          <w:lang w:val="en-GB"/>
        </w:rPr>
        <w:t xml:space="preserve">pecial </w:t>
      </w:r>
      <w:r>
        <w:rPr>
          <w:rFonts w:ascii="Arial" w:hAnsi="Arial" w:cs="Arial"/>
          <w:lang w:val="en-GB"/>
        </w:rPr>
        <w:t>R</w:t>
      </w:r>
      <w:r w:rsidRPr="00274A6C">
        <w:rPr>
          <w:rFonts w:ascii="Arial" w:hAnsi="Arial" w:cs="Arial"/>
          <w:lang w:val="en-GB"/>
        </w:rPr>
        <w:t xml:space="preserve">apporteur on </w:t>
      </w:r>
      <w:r>
        <w:rPr>
          <w:rFonts w:ascii="Arial" w:hAnsi="Arial" w:cs="Arial"/>
          <w:lang w:val="en-GB"/>
        </w:rPr>
        <w:t>H</w:t>
      </w:r>
      <w:r w:rsidRPr="00274A6C">
        <w:rPr>
          <w:rFonts w:ascii="Arial" w:hAnsi="Arial" w:cs="Arial"/>
          <w:lang w:val="en-GB"/>
        </w:rPr>
        <w:t xml:space="preserve">uman </w:t>
      </w:r>
      <w:r>
        <w:rPr>
          <w:rFonts w:ascii="Arial" w:hAnsi="Arial" w:cs="Arial"/>
          <w:lang w:val="en-GB"/>
        </w:rPr>
        <w:t>R</w:t>
      </w:r>
      <w:r w:rsidRPr="00274A6C">
        <w:rPr>
          <w:rFonts w:ascii="Arial" w:hAnsi="Arial" w:cs="Arial"/>
          <w:lang w:val="en-GB"/>
        </w:rPr>
        <w:t xml:space="preserve">ights in the </w:t>
      </w:r>
      <w:r w:rsidR="00CE757B">
        <w:rPr>
          <w:rFonts w:ascii="Arial" w:hAnsi="Arial" w:cs="Arial"/>
          <w:lang w:val="en-GB"/>
        </w:rPr>
        <w:t>OPT</w:t>
      </w:r>
      <w:r>
        <w:rPr>
          <w:rFonts w:ascii="Arial" w:hAnsi="Arial" w:cs="Arial"/>
          <w:lang w:val="en-GB"/>
        </w:rPr>
        <w:t>,</w:t>
      </w:r>
      <w:r w:rsidRPr="00274A6C">
        <w:rPr>
          <w:rFonts w:ascii="Arial" w:hAnsi="Arial" w:cs="Arial"/>
          <w:lang w:val="en-GB"/>
        </w:rPr>
        <w:t xml:space="preserve"> produced a report </w:t>
      </w:r>
      <w:r>
        <w:rPr>
          <w:rFonts w:ascii="Arial" w:hAnsi="Arial" w:cs="Arial"/>
          <w:lang w:val="en-GB"/>
        </w:rPr>
        <w:t xml:space="preserve">which concluded that </w:t>
      </w:r>
      <w:r w:rsidRPr="00274A6C">
        <w:rPr>
          <w:rFonts w:ascii="Arial" w:hAnsi="Arial" w:cs="Arial"/>
          <w:i/>
          <w:iCs/>
          <w:lang w:val="en-GB"/>
        </w:rPr>
        <w:t>there “are reasonable grounds to believe that the threshold indicating Israel’s commission of genocide is met. More broadly, they also indicate that Israel’s actions have been driven by a genocidal logic integral to its settler-colonial project in Palestine, signalling a tragedy foretold” and called for an arms embargo on Israel.</w:t>
      </w:r>
      <w:r>
        <w:rPr>
          <w:rStyle w:val="FootnoteReference"/>
          <w:rFonts w:ascii="Arial" w:hAnsi="Arial" w:cs="Arial"/>
          <w:lang w:val="en-GB"/>
        </w:rPr>
        <w:footnoteReference w:id="32"/>
      </w:r>
    </w:p>
    <w:p w14:paraId="1DB5B813" w14:textId="1C985A1A" w:rsidR="00AB396F" w:rsidRPr="00172570" w:rsidRDefault="00AB396F" w:rsidP="00622373">
      <w:pPr>
        <w:pStyle w:val="Body"/>
        <w:spacing w:line="300" w:lineRule="auto"/>
        <w:jc w:val="both"/>
        <w:rPr>
          <w:rFonts w:ascii="Arial" w:hAnsi="Arial" w:cs="Arial"/>
          <w:i/>
          <w:iCs/>
          <w:lang w:val="en-GB"/>
        </w:rPr>
      </w:pPr>
      <w:r w:rsidRPr="00172570">
        <w:rPr>
          <w:rFonts w:ascii="Arial" w:hAnsi="Arial" w:cs="Arial"/>
          <w:lang w:val="en-GB"/>
        </w:rPr>
        <w:t>When calling for a ceasefire, Brendan O’Hara MP s</w:t>
      </w:r>
      <w:r w:rsidR="00FF1B7F">
        <w:rPr>
          <w:rFonts w:ascii="Arial" w:hAnsi="Arial" w:cs="Arial"/>
          <w:lang w:val="en-GB"/>
        </w:rPr>
        <w:t>tated in Parliament</w:t>
      </w:r>
      <w:r w:rsidRPr="00172570">
        <w:rPr>
          <w:rFonts w:ascii="Arial" w:hAnsi="Arial" w:cs="Arial"/>
          <w:i/>
          <w:iCs/>
          <w:lang w:val="en-GB"/>
        </w:rPr>
        <w:t xml:space="preserve">, “No one would deny that Israel has the right to defend itself—every country has that right. What no country has the right to do, however, is lay siege to a civilian population, carpet-bomb densely inhabited areas, drive people from their homes, erase an entire civilian infrastructure, and impose a collective punishment involving the cutting off of water, electricity, food, and medicine from civilians. And no country, regardless of who it is, can, in the name of self-defence, kill civilians at such a pace, and on such a scale, that in just 16 weeks almost 30,000 are known to have died, with a further 80,000 injured. We cannot allow the core principle of self-defence to be so ruthlessly </w:t>
      </w:r>
      <w:r w:rsidRPr="00172570">
        <w:rPr>
          <w:rFonts w:ascii="Arial" w:hAnsi="Arial" w:cs="Arial"/>
          <w:i/>
          <w:iCs/>
          <w:lang w:val="en-GB"/>
        </w:rPr>
        <w:lastRenderedPageBreak/>
        <w:t>exploited and manipulated in order to legitimise the slaughter of innocent civilians. If we do that, what hope is there for the future of the international rules-based order, an order created to protect people from atrocities, not to be used as a smokescreen to hide the execution of them?”</w:t>
      </w:r>
      <w:r w:rsidR="009A3846" w:rsidRPr="00172570">
        <w:rPr>
          <w:rStyle w:val="FootnoteReference"/>
          <w:rFonts w:ascii="Arial" w:hAnsi="Arial" w:cs="Arial"/>
          <w:i/>
          <w:iCs/>
          <w:lang w:val="en-GB"/>
        </w:rPr>
        <w:footnoteReference w:id="33"/>
      </w:r>
      <w:r w:rsidRPr="00172570">
        <w:rPr>
          <w:rFonts w:ascii="Arial" w:hAnsi="Arial" w:cs="Arial"/>
          <w:i/>
          <w:iCs/>
          <w:lang w:val="en-GB"/>
        </w:rPr>
        <w:t xml:space="preserve"> </w:t>
      </w:r>
    </w:p>
    <w:p w14:paraId="1DAEF5BE" w14:textId="00EB9A56" w:rsidR="00FF1B7F" w:rsidRDefault="00FF1B7F" w:rsidP="00FF1B7F">
      <w:pPr>
        <w:pStyle w:val="Body"/>
        <w:spacing w:line="300" w:lineRule="auto"/>
        <w:jc w:val="both"/>
        <w:rPr>
          <w:rFonts w:ascii="Arial" w:hAnsi="Arial" w:cs="Arial"/>
          <w:lang w:val="en-GB"/>
        </w:rPr>
      </w:pPr>
      <w:r w:rsidRPr="00F46E51">
        <w:rPr>
          <w:rFonts w:ascii="Arial" w:hAnsi="Arial" w:cs="Arial"/>
          <w:lang w:val="en-GB"/>
        </w:rPr>
        <w:t>Karim Khan, the Chief Prosecutor of the International Criminal Court (ICC) issued a statement to say that he is seeking an arrest warrant against Netanyahu and his defence minister, Yoav Gallant for war crimes and crimes against humanity</w:t>
      </w:r>
      <w:r w:rsidR="00673AA0" w:rsidRPr="00F46E51">
        <w:rPr>
          <w:rFonts w:ascii="Arial" w:hAnsi="Arial" w:cs="Arial"/>
          <w:lang w:val="en-GB"/>
        </w:rPr>
        <w:t>.</w:t>
      </w:r>
      <w:r w:rsidR="00673AA0" w:rsidRPr="00F46E51">
        <w:rPr>
          <w:rStyle w:val="FootnoteReference"/>
          <w:rFonts w:ascii="Arial" w:hAnsi="Arial" w:cs="Arial"/>
          <w:lang w:val="en-GB"/>
        </w:rPr>
        <w:footnoteReference w:id="34"/>
      </w:r>
    </w:p>
    <w:p w14:paraId="1D5E2025" w14:textId="7BB92530" w:rsidR="00570D95" w:rsidRDefault="00F46E51" w:rsidP="00570D95">
      <w:pPr>
        <w:pStyle w:val="Body"/>
        <w:spacing w:line="300" w:lineRule="auto"/>
        <w:jc w:val="both"/>
        <w:rPr>
          <w:rFonts w:ascii="Arial" w:hAnsi="Arial" w:cs="Arial"/>
          <w:i/>
          <w:iCs/>
        </w:rPr>
      </w:pPr>
      <w:r>
        <w:rPr>
          <w:rFonts w:ascii="Arial" w:hAnsi="Arial" w:cs="Arial"/>
        </w:rPr>
        <w:t>Khan</w:t>
      </w:r>
      <w:r w:rsidR="00570D95" w:rsidRPr="00570D95">
        <w:rPr>
          <w:rFonts w:ascii="Arial" w:hAnsi="Arial" w:cs="Arial"/>
        </w:rPr>
        <w:t xml:space="preserve"> announced that his office </w:t>
      </w:r>
      <w:r w:rsidR="00570D95">
        <w:rPr>
          <w:rFonts w:ascii="Arial" w:hAnsi="Arial" w:cs="Arial"/>
        </w:rPr>
        <w:t xml:space="preserve">had </w:t>
      </w:r>
      <w:r w:rsidR="00570D95" w:rsidRPr="00570D95">
        <w:rPr>
          <w:rFonts w:ascii="Arial" w:hAnsi="Arial" w:cs="Arial"/>
        </w:rPr>
        <w:t xml:space="preserve">“reasonable grounds” to believe that Israeli Prime Minister Benjamin Netanyahu and Defence Minister Yoav Gallant bear “criminal responsibility” for “war crimes and crimes against humanity”. </w:t>
      </w:r>
      <w:r w:rsidR="00570D95">
        <w:rPr>
          <w:rFonts w:ascii="Arial" w:hAnsi="Arial" w:cs="Arial"/>
        </w:rPr>
        <w:t>Khan</w:t>
      </w:r>
      <w:r w:rsidR="00570D95" w:rsidRPr="00570D95">
        <w:rPr>
          <w:rFonts w:ascii="Arial" w:hAnsi="Arial" w:cs="Arial"/>
        </w:rPr>
        <w:t xml:space="preserve"> also confirmed that his team has found evidence that Israel has </w:t>
      </w:r>
      <w:r w:rsidR="00570D95" w:rsidRPr="00570D95">
        <w:rPr>
          <w:rFonts w:ascii="Arial" w:hAnsi="Arial" w:cs="Arial"/>
          <w:i/>
          <w:iCs/>
        </w:rPr>
        <w:t>“intentionally and systematically deprived the civilian population in all parts of Gaza of objects indispensable to human survival…This took place alongside other attacks on civilians, including those queuing for food; obstruction of aid delivery by humanitarian agencies; and attacks on and killing of aid workers, which forced many agencies to cease or limit their operations in Gaza.”</w:t>
      </w:r>
      <w:r w:rsidR="00570D95">
        <w:rPr>
          <w:rStyle w:val="FootnoteReference"/>
          <w:rFonts w:ascii="Arial" w:hAnsi="Arial" w:cs="Arial"/>
          <w:i/>
          <w:iCs/>
        </w:rPr>
        <w:footnoteReference w:id="35"/>
      </w:r>
    </w:p>
    <w:p w14:paraId="7764C866" w14:textId="243B1B58" w:rsidR="00570D95" w:rsidRDefault="00570D95" w:rsidP="00FF1B7F">
      <w:pPr>
        <w:pStyle w:val="Body"/>
        <w:spacing w:line="300" w:lineRule="auto"/>
        <w:jc w:val="both"/>
        <w:rPr>
          <w:rFonts w:ascii="Arial" w:hAnsi="Arial" w:cs="Arial"/>
        </w:rPr>
      </w:pPr>
      <w:r w:rsidRPr="00570D95">
        <w:rPr>
          <w:rFonts w:ascii="Arial" w:hAnsi="Arial" w:cs="Arial"/>
        </w:rPr>
        <w:t xml:space="preserve">The announcement by the ICC </w:t>
      </w:r>
      <w:r>
        <w:rPr>
          <w:rFonts w:ascii="Arial" w:hAnsi="Arial" w:cs="Arial"/>
        </w:rPr>
        <w:t xml:space="preserve">now </w:t>
      </w:r>
      <w:r w:rsidRPr="00570D95">
        <w:rPr>
          <w:rFonts w:ascii="Arial" w:hAnsi="Arial" w:cs="Arial"/>
        </w:rPr>
        <w:t xml:space="preserve">means that the UK </w:t>
      </w:r>
      <w:r>
        <w:rPr>
          <w:rFonts w:ascii="Arial" w:hAnsi="Arial" w:cs="Arial"/>
        </w:rPr>
        <w:t>G</w:t>
      </w:r>
      <w:r w:rsidRPr="00570D95">
        <w:rPr>
          <w:rFonts w:ascii="Arial" w:hAnsi="Arial" w:cs="Arial"/>
        </w:rPr>
        <w:t>overnment is obliged to arrest Netanyahu and Gallant should they enter any UK sovereign territory. It further requires the same obligation from all 124 member states of the ICC. </w:t>
      </w:r>
    </w:p>
    <w:p w14:paraId="6994B7FD" w14:textId="7C8F8976" w:rsidR="00BA1298" w:rsidRPr="00BA1298" w:rsidRDefault="00BA1298" w:rsidP="00FF1B7F">
      <w:pPr>
        <w:pStyle w:val="Body"/>
        <w:spacing w:line="300" w:lineRule="auto"/>
        <w:jc w:val="both"/>
        <w:rPr>
          <w:rFonts w:ascii="Arial" w:hAnsi="Arial" w:cs="Arial"/>
          <w:i/>
          <w:iCs/>
        </w:rPr>
      </w:pPr>
      <w:r>
        <w:rPr>
          <w:rFonts w:ascii="Arial" w:hAnsi="Arial" w:cs="Arial"/>
        </w:rPr>
        <w:t xml:space="preserve">In mid-August, Mark Smith, a senior civil servant and pen holder on arms exports licensing resigned. In his resignation letter, he stated, </w:t>
      </w:r>
      <w:r w:rsidRPr="00A1492D">
        <w:rPr>
          <w:rFonts w:ascii="Arial" w:hAnsi="Arial" w:cs="Arial"/>
          <w:i/>
          <w:iCs/>
        </w:rPr>
        <w:t>“Senior members of the Israeli government and military have expressed open genocidal intent, Israeli soldiers take videos deliberately burning, destroying and looting civilian property and openly admit to rape and torture of prisoners.”</w:t>
      </w:r>
      <w:r>
        <w:rPr>
          <w:rFonts w:ascii="Arial" w:hAnsi="Arial" w:cs="Arial"/>
        </w:rPr>
        <w:t xml:space="preserve"> H</w:t>
      </w:r>
      <w:r w:rsidRPr="000E270E">
        <w:rPr>
          <w:rFonts w:ascii="Arial" w:hAnsi="Arial" w:cs="Arial"/>
        </w:rPr>
        <w:t xml:space="preserve">e </w:t>
      </w:r>
      <w:r>
        <w:rPr>
          <w:rFonts w:ascii="Arial" w:hAnsi="Arial" w:cs="Arial"/>
        </w:rPr>
        <w:t xml:space="preserve">went on to state </w:t>
      </w:r>
      <w:r w:rsidRPr="00BA1298">
        <w:rPr>
          <w:rFonts w:ascii="Arial" w:hAnsi="Arial" w:cs="Arial"/>
          <w:i/>
          <w:iCs/>
        </w:rPr>
        <w:t>“There is no justification for the UK’s continued arms sales to Israel yet somehow it continues. I have raised this at every level in the organisation including through an official whistle blowing investigation and received nothing more than “thank you we have noted your concerns”. Ministers claim that the UK has one of the most “robust and transparent” arms export licensing regimes in the world, however this is the opposite of the truth. As a fully cleared officer raising serious concerns of illegality in this Department, to be disregarded in this way is deeply troubling.”</w:t>
      </w:r>
      <w:r>
        <w:rPr>
          <w:rStyle w:val="FootnoteReference"/>
          <w:rFonts w:ascii="Arial" w:hAnsi="Arial" w:cs="Arial"/>
          <w:i/>
          <w:iCs/>
        </w:rPr>
        <w:footnoteReference w:id="36"/>
      </w:r>
      <w:r w:rsidRPr="00BA1298">
        <w:rPr>
          <w:rFonts w:ascii="Arial" w:hAnsi="Arial" w:cs="Arial"/>
          <w:i/>
          <w:iCs/>
        </w:rPr>
        <w:t xml:space="preserve"> </w:t>
      </w:r>
      <w:r>
        <w:rPr>
          <w:rStyle w:val="FootnoteReference"/>
          <w:rFonts w:ascii="Arial" w:hAnsi="Arial" w:cs="Arial"/>
          <w:i/>
          <w:iCs/>
        </w:rPr>
        <w:footnoteReference w:id="37"/>
      </w:r>
    </w:p>
    <w:p w14:paraId="116A73BF" w14:textId="5651D18B" w:rsidR="00673AA0" w:rsidRDefault="00673AA0" w:rsidP="00622373">
      <w:pPr>
        <w:pStyle w:val="Body"/>
        <w:spacing w:line="300" w:lineRule="auto"/>
        <w:jc w:val="both"/>
        <w:rPr>
          <w:rFonts w:ascii="Arial" w:hAnsi="Arial" w:cs="Arial"/>
          <w:lang w:val="en-GB"/>
        </w:rPr>
      </w:pPr>
      <w:r>
        <w:rPr>
          <w:rFonts w:ascii="Arial" w:hAnsi="Arial" w:cs="Arial"/>
          <w:lang w:val="en-GB"/>
        </w:rPr>
        <w:t xml:space="preserve">I cannot now in good conscience continue to </w:t>
      </w:r>
      <w:r w:rsidR="004B7F4E">
        <w:rPr>
          <w:rFonts w:ascii="Arial" w:hAnsi="Arial" w:cs="Arial"/>
          <w:lang w:val="en-GB"/>
        </w:rPr>
        <w:t xml:space="preserve">allow my tuition fees to be paid into the University’s investment portfolio which </w:t>
      </w:r>
      <w:r>
        <w:rPr>
          <w:rFonts w:ascii="Arial" w:hAnsi="Arial" w:cs="Arial"/>
          <w:lang w:val="en-GB"/>
        </w:rPr>
        <w:t xml:space="preserve">is contributing to Israel’s war crimes and crimes against humanity. I refuse to fund a genocide. </w:t>
      </w:r>
    </w:p>
    <w:p w14:paraId="6875DC8D" w14:textId="549A9457"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lastRenderedPageBreak/>
        <w:t>*Please delete paragraph that does not apply to you:</w:t>
      </w:r>
    </w:p>
    <w:p w14:paraId="1022985E" w14:textId="1A3BF856"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If fees paid by Student Loans Company:</w:t>
      </w:r>
    </w:p>
    <w:p w14:paraId="04370B61" w14:textId="588F0C6B" w:rsidR="00AF37FC" w:rsidRPr="00A95369" w:rsidRDefault="00AF37FC" w:rsidP="00622373">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demand is for a refund of my tuition fees that I will pay over the course of 2024 to 2025 to be refunded to the Student Loans Company on a 6 monthly basis </w:t>
      </w:r>
      <w:r w:rsidR="00BF5EF1" w:rsidRPr="00A95369">
        <w:rPr>
          <w:rFonts w:ascii="Arial" w:hAnsi="Arial" w:cs="Arial"/>
          <w:highlight w:val="yellow"/>
          <w:lang w:val="en-GB"/>
        </w:rPr>
        <w:t>as I obtained a loan to pay for my tuition fees. During the next 12 months, I expect the University to divest from its investments that are contributing to the systematic abuse and war crimes against the Palestinian people. I refuse to contribute towards the illegal occupation of the Palestinians and their systematic ethnic cleansing.</w:t>
      </w:r>
    </w:p>
    <w:p w14:paraId="278ABECD" w14:textId="3563D454" w:rsidR="00AF37FC" w:rsidRPr="00EE1E4C" w:rsidRDefault="00AF37FC" w:rsidP="00622373">
      <w:pPr>
        <w:pStyle w:val="Body"/>
        <w:spacing w:line="300" w:lineRule="auto"/>
        <w:jc w:val="both"/>
        <w:rPr>
          <w:rFonts w:ascii="Arial" w:hAnsi="Arial" w:cs="Arial"/>
          <w:b/>
          <w:bCs/>
          <w:highlight w:val="yellow"/>
          <w:lang w:val="en-GB"/>
        </w:rPr>
      </w:pPr>
      <w:r w:rsidRPr="00EE1E4C">
        <w:rPr>
          <w:rFonts w:ascii="Arial" w:hAnsi="Arial" w:cs="Arial"/>
          <w:b/>
          <w:bCs/>
          <w:highlight w:val="yellow"/>
          <w:lang w:val="en-GB"/>
        </w:rPr>
        <w:t xml:space="preserve">If fees paid privately: </w:t>
      </w:r>
    </w:p>
    <w:p w14:paraId="528D2CF3" w14:textId="3E98BA7C" w:rsidR="00A80EA0" w:rsidRPr="00A95369" w:rsidRDefault="00AB396F" w:rsidP="00622373">
      <w:pPr>
        <w:pStyle w:val="Body"/>
        <w:spacing w:line="300" w:lineRule="auto"/>
        <w:jc w:val="both"/>
        <w:rPr>
          <w:rFonts w:ascii="Arial" w:hAnsi="Arial" w:cs="Arial"/>
          <w:highlight w:val="yellow"/>
        </w:rPr>
      </w:pPr>
      <w:bookmarkStart w:id="6" w:name="_Hlk178713918"/>
      <w:r w:rsidRPr="00A95369">
        <w:rPr>
          <w:rFonts w:ascii="Arial" w:hAnsi="Arial" w:cs="Arial"/>
          <w:highlight w:val="yellow"/>
          <w:lang w:val="en-GB"/>
        </w:rPr>
        <w:t>My</w:t>
      </w:r>
      <w:r w:rsidR="004676C1" w:rsidRPr="00A95369">
        <w:rPr>
          <w:rFonts w:ascii="Arial" w:hAnsi="Arial" w:cs="Arial"/>
          <w:highlight w:val="yellow"/>
          <w:lang w:val="en-GB"/>
        </w:rPr>
        <w:t xml:space="preserve"> demand </w:t>
      </w:r>
      <w:r w:rsidR="00673AA0" w:rsidRPr="00A95369">
        <w:rPr>
          <w:rFonts w:ascii="Arial" w:hAnsi="Arial" w:cs="Arial"/>
          <w:highlight w:val="yellow"/>
          <w:lang w:val="en-GB"/>
        </w:rPr>
        <w:t xml:space="preserve">is </w:t>
      </w:r>
      <w:r w:rsidRPr="00A95369">
        <w:rPr>
          <w:rFonts w:ascii="Arial" w:hAnsi="Arial" w:cs="Arial"/>
          <w:highlight w:val="yellow"/>
          <w:lang w:val="en-GB"/>
        </w:rPr>
        <w:t xml:space="preserve">for a refund of </w:t>
      </w:r>
      <w:r w:rsidR="0039332D" w:rsidRPr="00A95369">
        <w:rPr>
          <w:rFonts w:ascii="Arial" w:hAnsi="Arial" w:cs="Arial"/>
          <w:highlight w:val="yellow"/>
          <w:lang w:val="en-GB"/>
        </w:rPr>
        <w:t xml:space="preserve">my tuition fees that </w:t>
      </w:r>
      <w:r w:rsidRPr="00A95369">
        <w:rPr>
          <w:rFonts w:ascii="Arial" w:hAnsi="Arial" w:cs="Arial"/>
          <w:highlight w:val="yellow"/>
          <w:lang w:val="en-GB"/>
        </w:rPr>
        <w:t xml:space="preserve">I </w:t>
      </w:r>
      <w:r w:rsidR="00345771" w:rsidRPr="00A95369">
        <w:rPr>
          <w:rFonts w:ascii="Arial" w:hAnsi="Arial" w:cs="Arial"/>
          <w:highlight w:val="yellow"/>
          <w:lang w:val="en-GB"/>
        </w:rPr>
        <w:t xml:space="preserve">will pay </w:t>
      </w:r>
      <w:r w:rsidR="00CE757B" w:rsidRPr="00A95369">
        <w:rPr>
          <w:rFonts w:ascii="Arial" w:hAnsi="Arial" w:cs="Arial"/>
          <w:highlight w:val="yellow"/>
          <w:lang w:val="en-GB"/>
        </w:rPr>
        <w:t xml:space="preserve">over the course of </w:t>
      </w:r>
      <w:r w:rsidR="00FB1AC4" w:rsidRPr="00A95369">
        <w:rPr>
          <w:rFonts w:ascii="Arial" w:hAnsi="Arial" w:cs="Arial"/>
          <w:highlight w:val="yellow"/>
          <w:lang w:val="en-GB"/>
        </w:rPr>
        <w:t>202</w:t>
      </w:r>
      <w:r w:rsidR="00345771" w:rsidRPr="00A95369">
        <w:rPr>
          <w:rFonts w:ascii="Arial" w:hAnsi="Arial" w:cs="Arial"/>
          <w:highlight w:val="yellow"/>
          <w:lang w:val="en-GB"/>
        </w:rPr>
        <w:t>4</w:t>
      </w:r>
      <w:r w:rsidR="00FB1AC4" w:rsidRPr="00A95369">
        <w:rPr>
          <w:rFonts w:ascii="Arial" w:hAnsi="Arial" w:cs="Arial"/>
          <w:highlight w:val="yellow"/>
          <w:lang w:val="en-GB"/>
        </w:rPr>
        <w:t xml:space="preserve"> to 202</w:t>
      </w:r>
      <w:r w:rsidR="00345771" w:rsidRPr="00A95369">
        <w:rPr>
          <w:rFonts w:ascii="Arial" w:hAnsi="Arial" w:cs="Arial"/>
          <w:highlight w:val="yellow"/>
          <w:lang w:val="en-GB"/>
        </w:rPr>
        <w:t>5</w:t>
      </w:r>
      <w:r w:rsidR="00FB1AC4" w:rsidRPr="00A95369">
        <w:rPr>
          <w:rFonts w:ascii="Arial" w:hAnsi="Arial" w:cs="Arial"/>
          <w:highlight w:val="yellow"/>
          <w:lang w:val="en-GB"/>
        </w:rPr>
        <w:t xml:space="preserve">. </w:t>
      </w:r>
      <w:bookmarkEnd w:id="6"/>
      <w:r w:rsidR="00345771" w:rsidRPr="00A95369">
        <w:rPr>
          <w:rFonts w:ascii="Arial" w:hAnsi="Arial" w:cs="Arial"/>
          <w:highlight w:val="yellow"/>
          <w:lang w:val="en-GB"/>
        </w:rPr>
        <w:t xml:space="preserve">My </w:t>
      </w:r>
      <w:r w:rsidR="0039332D" w:rsidRPr="00A95369">
        <w:rPr>
          <w:rFonts w:ascii="Arial" w:hAnsi="Arial" w:cs="Arial"/>
          <w:highlight w:val="yellow"/>
          <w:lang w:val="en-GB"/>
        </w:rPr>
        <w:t xml:space="preserve">tuition fees should be </w:t>
      </w:r>
      <w:r w:rsidR="00345771" w:rsidRPr="00A95369">
        <w:rPr>
          <w:rFonts w:ascii="Arial" w:hAnsi="Arial" w:cs="Arial"/>
          <w:highlight w:val="yellow"/>
          <w:lang w:val="en-GB"/>
        </w:rPr>
        <w:t xml:space="preserve">refunded to </w:t>
      </w:r>
      <w:r w:rsidR="0039332D" w:rsidRPr="00A95369">
        <w:rPr>
          <w:rFonts w:ascii="Arial" w:hAnsi="Arial" w:cs="Arial"/>
          <w:highlight w:val="yellow"/>
          <w:lang w:val="en-GB"/>
        </w:rPr>
        <w:t>me</w:t>
      </w:r>
      <w:r w:rsidR="00345771" w:rsidRPr="00A95369">
        <w:rPr>
          <w:rFonts w:ascii="Arial" w:hAnsi="Arial" w:cs="Arial"/>
          <w:highlight w:val="yellow"/>
          <w:lang w:val="en-GB"/>
        </w:rPr>
        <w:t xml:space="preserve"> on a 6 monthly basis. </w:t>
      </w:r>
      <w:r w:rsidR="00557FB3" w:rsidRPr="00A95369">
        <w:rPr>
          <w:rFonts w:ascii="Arial" w:hAnsi="Arial" w:cs="Arial"/>
          <w:highlight w:val="yellow"/>
          <w:lang w:val="en-GB"/>
        </w:rPr>
        <w:t>Once I receive the refund, I</w:t>
      </w:r>
      <w:r w:rsidR="00A80EA0" w:rsidRPr="00A95369">
        <w:rPr>
          <w:rFonts w:ascii="Arial" w:hAnsi="Arial" w:cs="Arial"/>
          <w:highlight w:val="yellow"/>
        </w:rPr>
        <w:t xml:space="preserve"> intend to place </w:t>
      </w:r>
      <w:r w:rsidR="00FB1AC4" w:rsidRPr="00A95369">
        <w:rPr>
          <w:rFonts w:ascii="Arial" w:hAnsi="Arial" w:cs="Arial"/>
          <w:highlight w:val="yellow"/>
        </w:rPr>
        <w:t>the</w:t>
      </w:r>
      <w:r w:rsidR="00A80EA0" w:rsidRPr="00A95369">
        <w:rPr>
          <w:rFonts w:ascii="Arial" w:hAnsi="Arial" w:cs="Arial"/>
          <w:highlight w:val="yellow"/>
        </w:rPr>
        <w:t xml:space="preserve"> </w:t>
      </w:r>
      <w:r w:rsidR="0039332D" w:rsidRPr="00A95369">
        <w:rPr>
          <w:rFonts w:ascii="Arial" w:hAnsi="Arial" w:cs="Arial"/>
          <w:highlight w:val="yellow"/>
        </w:rPr>
        <w:t xml:space="preserve">tuition fee payments due to the University </w:t>
      </w:r>
      <w:r w:rsidR="00CE757B" w:rsidRPr="00A95369">
        <w:rPr>
          <w:rFonts w:ascii="Arial" w:hAnsi="Arial" w:cs="Arial"/>
          <w:highlight w:val="yellow"/>
        </w:rPr>
        <w:t xml:space="preserve">in </w:t>
      </w:r>
      <w:r w:rsidR="00A80EA0" w:rsidRPr="00A95369">
        <w:rPr>
          <w:rFonts w:ascii="Arial" w:hAnsi="Arial" w:cs="Arial"/>
          <w:highlight w:val="yellow"/>
        </w:rPr>
        <w:t xml:space="preserve">a </w:t>
      </w:r>
      <w:r w:rsidR="00CE757B" w:rsidRPr="00A95369">
        <w:rPr>
          <w:rFonts w:ascii="Arial" w:hAnsi="Arial" w:cs="Arial"/>
          <w:highlight w:val="yellow"/>
        </w:rPr>
        <w:t>separate bank</w:t>
      </w:r>
      <w:r w:rsidR="00A80EA0" w:rsidRPr="00A95369">
        <w:rPr>
          <w:rFonts w:ascii="Arial" w:hAnsi="Arial" w:cs="Arial"/>
          <w:highlight w:val="yellow"/>
        </w:rPr>
        <w:t xml:space="preserve"> account </w:t>
      </w:r>
      <w:r w:rsidR="00BB4974" w:rsidRPr="00A95369">
        <w:rPr>
          <w:rFonts w:ascii="Arial" w:hAnsi="Arial" w:cs="Arial"/>
          <w:highlight w:val="yellow"/>
        </w:rPr>
        <w:t xml:space="preserve">in </w:t>
      </w:r>
      <w:r w:rsidR="00CE757B" w:rsidRPr="00A95369">
        <w:rPr>
          <w:rFonts w:ascii="Arial" w:hAnsi="Arial" w:cs="Arial"/>
          <w:highlight w:val="yellow"/>
        </w:rPr>
        <w:t>for a period of 12 months.</w:t>
      </w:r>
      <w:r w:rsidR="005B1CC7" w:rsidRPr="00A95369">
        <w:rPr>
          <w:rFonts w:ascii="Arial" w:hAnsi="Arial" w:cs="Arial"/>
          <w:highlight w:val="yellow"/>
        </w:rPr>
        <w:t xml:space="preserve"> During this time,</w:t>
      </w:r>
      <w:r w:rsidR="00CE757B" w:rsidRPr="00A95369">
        <w:rPr>
          <w:rFonts w:ascii="Arial" w:hAnsi="Arial" w:cs="Arial"/>
          <w:highlight w:val="yellow"/>
        </w:rPr>
        <w:t xml:space="preserve"> I expect the University to divest from its investments that are contributing to the systematic abuse and war crimes against the Palestinian people</w:t>
      </w:r>
      <w:r w:rsidR="00FB1AC4" w:rsidRPr="00A95369">
        <w:rPr>
          <w:rFonts w:ascii="Arial" w:hAnsi="Arial" w:cs="Arial"/>
          <w:highlight w:val="yellow"/>
        </w:rPr>
        <w:t xml:space="preserve"> </w:t>
      </w:r>
      <w:r w:rsidR="005B1CC7" w:rsidRPr="00A95369">
        <w:rPr>
          <w:rFonts w:ascii="Arial" w:hAnsi="Arial" w:cs="Arial"/>
          <w:highlight w:val="yellow"/>
        </w:rPr>
        <w:t xml:space="preserve">failing which I will retain the money at the end of the </w:t>
      </w:r>
      <w:proofErr w:type="gramStart"/>
      <w:r w:rsidR="005B1CC7" w:rsidRPr="00A95369">
        <w:rPr>
          <w:rFonts w:ascii="Arial" w:hAnsi="Arial" w:cs="Arial"/>
          <w:highlight w:val="yellow"/>
        </w:rPr>
        <w:t>12 month</w:t>
      </w:r>
      <w:proofErr w:type="gramEnd"/>
      <w:r w:rsidR="005B1CC7" w:rsidRPr="00A95369">
        <w:rPr>
          <w:rFonts w:ascii="Arial" w:hAnsi="Arial" w:cs="Arial"/>
          <w:highlight w:val="yellow"/>
        </w:rPr>
        <w:t xml:space="preserve"> period. I refuse to contribute towards the illegal occupation of the Palestinians and their systematic ethnic cleansing.</w:t>
      </w:r>
    </w:p>
    <w:p w14:paraId="08DA4B5E" w14:textId="491122F5"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My account details for refund of my tuition fees </w:t>
      </w:r>
      <w:proofErr w:type="gramStart"/>
      <w:r w:rsidRPr="00A95369">
        <w:rPr>
          <w:rFonts w:ascii="Arial" w:hAnsi="Arial" w:cs="Arial"/>
          <w:highlight w:val="yellow"/>
          <w:lang w:val="en-GB"/>
        </w:rPr>
        <w:t>is</w:t>
      </w:r>
      <w:proofErr w:type="gramEnd"/>
      <w:r w:rsidRPr="00A95369">
        <w:rPr>
          <w:rFonts w:ascii="Arial" w:hAnsi="Arial" w:cs="Arial"/>
          <w:highlight w:val="yellow"/>
          <w:lang w:val="en-GB"/>
        </w:rPr>
        <w:t xml:space="preserve">: </w:t>
      </w:r>
    </w:p>
    <w:p w14:paraId="3989FF8F"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Name:   </w:t>
      </w:r>
    </w:p>
    <w:p w14:paraId="7E1DE371"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Account Number: </w:t>
      </w:r>
    </w:p>
    <w:p w14:paraId="5BAB65BA" w14:textId="77777777" w:rsidR="00BF5EF1" w:rsidRPr="00A95369" w:rsidRDefault="00BF5EF1" w:rsidP="00BF5EF1">
      <w:pPr>
        <w:pStyle w:val="Body"/>
        <w:spacing w:line="300" w:lineRule="auto"/>
        <w:jc w:val="both"/>
        <w:rPr>
          <w:rFonts w:ascii="Arial" w:hAnsi="Arial" w:cs="Arial"/>
          <w:highlight w:val="yellow"/>
          <w:lang w:val="en-GB"/>
        </w:rPr>
      </w:pPr>
      <w:r w:rsidRPr="00A95369">
        <w:rPr>
          <w:rFonts w:ascii="Arial" w:hAnsi="Arial" w:cs="Arial"/>
          <w:highlight w:val="yellow"/>
          <w:lang w:val="en-GB"/>
        </w:rPr>
        <w:t xml:space="preserve">Sort Code: </w:t>
      </w:r>
    </w:p>
    <w:p w14:paraId="5EFB588E" w14:textId="3176E958" w:rsidR="00BF5EF1" w:rsidRPr="00172570" w:rsidRDefault="00BF5EF1" w:rsidP="00622373">
      <w:pPr>
        <w:pStyle w:val="Body"/>
        <w:spacing w:line="300" w:lineRule="auto"/>
        <w:jc w:val="both"/>
        <w:rPr>
          <w:rFonts w:ascii="Arial" w:hAnsi="Arial" w:cs="Arial"/>
          <w:lang w:val="en-GB"/>
        </w:rPr>
      </w:pPr>
      <w:r w:rsidRPr="00A95369">
        <w:rPr>
          <w:rFonts w:ascii="Arial" w:hAnsi="Arial" w:cs="Arial"/>
          <w:highlight w:val="yellow"/>
          <w:lang w:val="en-GB"/>
        </w:rPr>
        <w:t>Bank:</w:t>
      </w:r>
      <w:r w:rsidRPr="00AF37FC">
        <w:rPr>
          <w:rFonts w:ascii="Arial" w:hAnsi="Arial" w:cs="Arial"/>
          <w:lang w:val="en-GB"/>
        </w:rPr>
        <w:t xml:space="preserve">  </w:t>
      </w:r>
    </w:p>
    <w:p w14:paraId="64F66782" w14:textId="63A27701" w:rsidR="00475F43" w:rsidRPr="00172570" w:rsidRDefault="00557FB3" w:rsidP="00622373">
      <w:pPr>
        <w:pStyle w:val="Body"/>
        <w:spacing w:line="300" w:lineRule="auto"/>
        <w:jc w:val="both"/>
        <w:rPr>
          <w:rFonts w:ascii="Arial" w:hAnsi="Arial" w:cs="Arial"/>
          <w:lang w:val="en-GB"/>
        </w:rPr>
      </w:pPr>
      <w:r>
        <w:rPr>
          <w:rFonts w:ascii="Arial" w:hAnsi="Arial" w:cs="Arial"/>
          <w:lang w:val="en-GB"/>
        </w:rPr>
        <w:t>Please</w:t>
      </w:r>
      <w:r w:rsidR="008F3748" w:rsidRPr="00172570">
        <w:rPr>
          <w:rFonts w:ascii="Arial" w:hAnsi="Arial" w:cs="Arial"/>
          <w:lang w:val="en-GB"/>
        </w:rPr>
        <w:t xml:space="preserve"> contact me by email, s</w:t>
      </w:r>
      <w:r w:rsidR="00475F43" w:rsidRPr="00172570">
        <w:rPr>
          <w:rFonts w:ascii="Arial" w:hAnsi="Arial" w:cs="Arial"/>
          <w:lang w:val="en-GB"/>
        </w:rPr>
        <w:t>hould you</w:t>
      </w:r>
      <w:r w:rsidR="00746C13" w:rsidRPr="00172570">
        <w:rPr>
          <w:rFonts w:ascii="Arial" w:hAnsi="Arial" w:cs="Arial"/>
          <w:lang w:val="en-GB"/>
        </w:rPr>
        <w:t xml:space="preserve"> wish to discuss my notice </w:t>
      </w:r>
      <w:r>
        <w:rPr>
          <w:rFonts w:ascii="Arial" w:hAnsi="Arial" w:cs="Arial"/>
          <w:lang w:val="en-GB"/>
        </w:rPr>
        <w:t xml:space="preserve">demanding a refund of </w:t>
      </w:r>
      <w:r w:rsidR="00BF5EF1">
        <w:rPr>
          <w:rFonts w:ascii="Arial" w:hAnsi="Arial" w:cs="Arial"/>
          <w:lang w:val="en-GB"/>
        </w:rPr>
        <w:t xml:space="preserve">my </w:t>
      </w:r>
      <w:r w:rsidR="0039332D">
        <w:rPr>
          <w:rFonts w:ascii="Arial" w:hAnsi="Arial" w:cs="Arial"/>
          <w:lang w:val="en-GB"/>
        </w:rPr>
        <w:t>tuition fees</w:t>
      </w:r>
      <w:r w:rsidR="00BB4974" w:rsidRPr="00172570">
        <w:rPr>
          <w:rFonts w:ascii="Arial" w:hAnsi="Arial" w:cs="Arial"/>
          <w:lang w:val="en-GB"/>
        </w:rPr>
        <w:t xml:space="preserve">. </w:t>
      </w:r>
    </w:p>
    <w:p w14:paraId="1135C8E6" w14:textId="1C7783BC" w:rsidR="006B7988" w:rsidRPr="00172570" w:rsidRDefault="006B7988" w:rsidP="00622373">
      <w:pPr>
        <w:pStyle w:val="Body"/>
        <w:spacing w:line="300" w:lineRule="auto"/>
        <w:jc w:val="both"/>
        <w:rPr>
          <w:rFonts w:ascii="Arial" w:hAnsi="Arial" w:cs="Arial"/>
          <w:lang w:val="en-GB"/>
        </w:rPr>
      </w:pPr>
      <w:r w:rsidRPr="00172570">
        <w:rPr>
          <w:rFonts w:ascii="Arial" w:hAnsi="Arial" w:cs="Arial"/>
          <w:lang w:val="en-GB"/>
        </w:rPr>
        <w:t xml:space="preserve">Yours sincerely </w:t>
      </w:r>
    </w:p>
    <w:p w14:paraId="06783E0F" w14:textId="77777777" w:rsidR="00AF37FC" w:rsidRDefault="00AF37FC" w:rsidP="006F7358">
      <w:pPr>
        <w:pStyle w:val="Body"/>
        <w:spacing w:line="300" w:lineRule="auto"/>
        <w:jc w:val="both"/>
        <w:rPr>
          <w:rFonts w:ascii="Arial" w:hAnsi="Arial" w:cs="Arial"/>
          <w:lang w:val="en-GB"/>
        </w:rPr>
      </w:pPr>
    </w:p>
    <w:p w14:paraId="41EFE255" w14:textId="1B4BA092" w:rsidR="00AF37FC" w:rsidRDefault="00AF37FC" w:rsidP="006F7358">
      <w:pPr>
        <w:pStyle w:val="Body"/>
        <w:spacing w:line="300" w:lineRule="auto"/>
        <w:jc w:val="both"/>
        <w:rPr>
          <w:rFonts w:ascii="Arial" w:hAnsi="Arial" w:cs="Arial"/>
          <w:lang w:val="en-GB"/>
        </w:rPr>
      </w:pPr>
      <w:r>
        <w:rPr>
          <w:rFonts w:ascii="Arial" w:hAnsi="Arial" w:cs="Arial"/>
          <w:lang w:val="en-GB"/>
        </w:rPr>
        <w:t>………………………</w:t>
      </w:r>
    </w:p>
    <w:p w14:paraId="01FBCA3F" w14:textId="47F2C1A3" w:rsidR="00622373" w:rsidRPr="00172570" w:rsidRDefault="00557FB3" w:rsidP="00F109DA">
      <w:pPr>
        <w:pStyle w:val="Body"/>
        <w:spacing w:line="300" w:lineRule="auto"/>
        <w:jc w:val="both"/>
        <w:rPr>
          <w:rFonts w:ascii="Arial" w:eastAsia="Arial" w:hAnsi="Arial" w:cs="Arial"/>
          <w:lang w:val="en-GB"/>
        </w:rPr>
      </w:pPr>
      <w:r w:rsidRPr="00AF37FC">
        <w:rPr>
          <w:rFonts w:ascii="Arial" w:hAnsi="Arial" w:cs="Arial"/>
          <w:lang w:val="en-GB"/>
        </w:rPr>
        <w:t>Email:</w:t>
      </w:r>
      <w:r>
        <w:rPr>
          <w:rFonts w:ascii="Arial" w:hAnsi="Arial" w:cs="Arial"/>
          <w:lang w:val="en-GB"/>
        </w:rPr>
        <w:t xml:space="preserve">   </w:t>
      </w:r>
      <w:r w:rsidR="006F7358" w:rsidRPr="00172570">
        <w:rPr>
          <w:rFonts w:ascii="Arial" w:hAnsi="Arial" w:cs="Arial"/>
          <w:lang w:val="en-GB"/>
        </w:rPr>
        <w:t xml:space="preserve"> </w:t>
      </w:r>
    </w:p>
    <w:sectPr w:rsidR="00622373" w:rsidRPr="0017257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1607C" w14:textId="77777777" w:rsidR="00D33B3D" w:rsidRPr="00150891" w:rsidRDefault="00D33B3D" w:rsidP="00C97AB6">
      <w:pPr>
        <w:spacing w:after="0" w:line="240" w:lineRule="auto"/>
      </w:pPr>
      <w:r w:rsidRPr="00150891">
        <w:separator/>
      </w:r>
    </w:p>
  </w:endnote>
  <w:endnote w:type="continuationSeparator" w:id="0">
    <w:p w14:paraId="17BCC36B" w14:textId="77777777" w:rsidR="00D33B3D" w:rsidRPr="00150891" w:rsidRDefault="00D33B3D" w:rsidP="00C97AB6">
      <w:pPr>
        <w:spacing w:after="0" w:line="240" w:lineRule="auto"/>
      </w:pPr>
      <w:r w:rsidRPr="001508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503200"/>
      <w:docPartObj>
        <w:docPartGallery w:val="Page Numbers (Bottom of Page)"/>
        <w:docPartUnique/>
      </w:docPartObj>
    </w:sdtPr>
    <w:sdtEndPr>
      <w:rPr>
        <w:noProof/>
      </w:rPr>
    </w:sdtEndPr>
    <w:sdtContent>
      <w:p w14:paraId="47FAF20B" w14:textId="2885473C" w:rsidR="00A80EA0" w:rsidRDefault="00A80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20A55" w14:textId="77777777" w:rsidR="00A80EA0" w:rsidRDefault="00A80EA0" w:rsidP="00A80EA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E88C4" w14:textId="77777777" w:rsidR="00D33B3D" w:rsidRPr="00150891" w:rsidRDefault="00D33B3D" w:rsidP="00C97AB6">
      <w:pPr>
        <w:spacing w:after="0" w:line="240" w:lineRule="auto"/>
      </w:pPr>
      <w:r w:rsidRPr="00150891">
        <w:separator/>
      </w:r>
    </w:p>
  </w:footnote>
  <w:footnote w:type="continuationSeparator" w:id="0">
    <w:p w14:paraId="41430430" w14:textId="77777777" w:rsidR="00D33B3D" w:rsidRPr="00150891" w:rsidRDefault="00D33B3D" w:rsidP="00C97AB6">
      <w:pPr>
        <w:spacing w:after="0" w:line="240" w:lineRule="auto"/>
      </w:pPr>
      <w:r w:rsidRPr="00150891">
        <w:continuationSeparator/>
      </w:r>
    </w:p>
  </w:footnote>
  <w:footnote w:id="1">
    <w:p w14:paraId="453135C7" w14:textId="77777777" w:rsidR="006F7358" w:rsidRPr="00B83C17" w:rsidRDefault="006F7358" w:rsidP="006F7358">
      <w:pPr>
        <w:pStyle w:val="FootnoteText"/>
        <w:jc w:val="both"/>
        <w:rPr>
          <w:color w:val="6373BA"/>
        </w:rPr>
      </w:pPr>
      <w:r w:rsidRPr="00656F6A">
        <w:rPr>
          <w:rStyle w:val="FootnoteReference"/>
        </w:rPr>
        <w:footnoteRef/>
      </w:r>
      <w:r w:rsidRPr="00656F6A">
        <w:t xml:space="preserve"> </w:t>
      </w:r>
      <w:hyperlink r:id="rId1" w:history="1">
        <w:r w:rsidRPr="00B83C17">
          <w:rPr>
            <w:rStyle w:val="Hyperlink"/>
            <w:color w:val="6373BA"/>
          </w:rPr>
          <w:t>Gaza: ICJ ruling offers hope for protection of civilians enduring apocalyptic conditions, say UN experts | OHCHR</w:t>
        </w:r>
      </w:hyperlink>
    </w:p>
  </w:footnote>
  <w:footnote w:id="2">
    <w:p w14:paraId="18A46BD7" w14:textId="77777777" w:rsidR="00BB5BC3" w:rsidRPr="00F52111" w:rsidRDefault="00BB5BC3" w:rsidP="00BB5BC3">
      <w:pPr>
        <w:pStyle w:val="FootnoteText"/>
        <w:rPr>
          <w:lang w:val="en-US"/>
        </w:rPr>
      </w:pPr>
      <w:r>
        <w:rPr>
          <w:rStyle w:val="FootnoteReference"/>
        </w:rPr>
        <w:footnoteRef/>
      </w:r>
      <w:r>
        <w:t xml:space="preserve"> </w:t>
      </w:r>
      <w:hyperlink r:id="rId2" w:history="1">
        <w:r w:rsidRPr="00C249AB">
          <w:rPr>
            <w:rStyle w:val="Hyperlink"/>
          </w:rPr>
          <w:t>Microsoft Word - FINAL Policy for Responsible Investment October 2022 (manchester.ac.uk)</w:t>
        </w:r>
      </w:hyperlink>
    </w:p>
  </w:footnote>
  <w:footnote w:id="3">
    <w:p w14:paraId="18E4556E" w14:textId="77777777" w:rsidR="004F0393" w:rsidRPr="008D6496" w:rsidRDefault="004F0393" w:rsidP="004F0393">
      <w:pPr>
        <w:pStyle w:val="FootnoteText"/>
        <w:rPr>
          <w:lang w:val="en-US"/>
        </w:rPr>
      </w:pPr>
      <w:r>
        <w:rPr>
          <w:rStyle w:val="FootnoteReference"/>
        </w:rPr>
        <w:footnoteRef/>
      </w:r>
      <w:r>
        <w:t xml:space="preserve"> </w:t>
      </w:r>
      <w:hyperlink r:id="rId3" w:anchor=":~:text=As%20the%20world's%20biggest%20arms,products%20from%20being%20used%20in" w:history="1">
        <w:r w:rsidRPr="008D6496">
          <w:rPr>
            <w:rStyle w:val="Hyperlink"/>
          </w:rPr>
          <w:t>Arms companies failing to address human rights risks - Amnesty International</w:t>
        </w:r>
      </w:hyperlink>
      <w:r>
        <w:t xml:space="preserve"> </w:t>
      </w:r>
    </w:p>
  </w:footnote>
  <w:footnote w:id="4">
    <w:p w14:paraId="0AAE225A" w14:textId="77777777" w:rsidR="004F0393" w:rsidRPr="005F69F4" w:rsidRDefault="004F0393" w:rsidP="004F0393">
      <w:pPr>
        <w:pStyle w:val="FootnoteText"/>
        <w:rPr>
          <w:lang w:val="en-US"/>
        </w:rPr>
      </w:pPr>
      <w:r>
        <w:rPr>
          <w:rStyle w:val="FootnoteReference"/>
        </w:rPr>
        <w:footnoteRef/>
      </w:r>
      <w:r>
        <w:t xml:space="preserve"> </w:t>
      </w:r>
      <w:hyperlink r:id="rId4" w:anchor=":~:text=In%20line%20with%20recent%20calls,%2C%20General%20Dynamics%2C%20Lockheed%20Martin%2C" w:history="1">
        <w:r w:rsidRPr="005F69F4">
          <w:rPr>
            <w:rStyle w:val="Hyperlink"/>
          </w:rPr>
          <w:t>States and companies must end arms transfers to Israel immediately or risk responsibility for human rights violations: UN experts | OHCHR</w:t>
        </w:r>
      </w:hyperlink>
      <w:r>
        <w:t xml:space="preserve"> </w:t>
      </w:r>
    </w:p>
  </w:footnote>
  <w:footnote w:id="5">
    <w:p w14:paraId="767F1DCA" w14:textId="3BCF071D" w:rsidR="003E2F07" w:rsidRPr="003E2F07" w:rsidRDefault="003E2F07">
      <w:pPr>
        <w:pStyle w:val="FootnoteText"/>
        <w:rPr>
          <w:lang w:val="en-US"/>
        </w:rPr>
      </w:pPr>
      <w:r>
        <w:rPr>
          <w:rStyle w:val="FootnoteReference"/>
        </w:rPr>
        <w:footnoteRef/>
      </w:r>
      <w:r>
        <w:t xml:space="preserve"> </w:t>
      </w:r>
      <w:hyperlink r:id="rId5" w:history="1">
        <w:r w:rsidRPr="00B24705">
          <w:rPr>
            <w:rStyle w:val="Hyperlink"/>
          </w:rPr>
          <w:t>https://edition.cnn.com/2024/08/23/middleeast/israel-gaza-water-shortages-heatwave-crisis-intl/index.html</w:t>
        </w:r>
      </w:hyperlink>
      <w:r>
        <w:t xml:space="preserve"> </w:t>
      </w:r>
    </w:p>
  </w:footnote>
  <w:footnote w:id="6">
    <w:p w14:paraId="633C9980" w14:textId="4995CE54" w:rsidR="00497E97" w:rsidRPr="00497E97" w:rsidRDefault="00497E97">
      <w:pPr>
        <w:pStyle w:val="FootnoteText"/>
        <w:rPr>
          <w:lang w:val="en-US"/>
        </w:rPr>
      </w:pPr>
      <w:r>
        <w:rPr>
          <w:rStyle w:val="FootnoteReference"/>
        </w:rPr>
        <w:footnoteRef/>
      </w:r>
      <w:r>
        <w:t xml:space="preserve"> </w:t>
      </w:r>
      <w:hyperlink r:id="rId6" w:history="1">
        <w:r w:rsidRPr="00B24705">
          <w:rPr>
            <w:rStyle w:val="Hyperlink"/>
          </w:rPr>
          <w:t>https://www.aljazeera.com/news/2023/10/11/gaza-faces-humanitarian-catastrophe-as-sole-power-plant-runs-out-of-fuel</w:t>
        </w:r>
      </w:hyperlink>
      <w:r>
        <w:t xml:space="preserve"> </w:t>
      </w:r>
    </w:p>
  </w:footnote>
  <w:footnote w:id="7">
    <w:p w14:paraId="2F583F4A" w14:textId="1476D753" w:rsidR="009C12CC" w:rsidRPr="009C12CC" w:rsidRDefault="009C12CC">
      <w:pPr>
        <w:pStyle w:val="FootnoteText"/>
        <w:rPr>
          <w:lang w:val="en-US"/>
        </w:rPr>
      </w:pPr>
      <w:r>
        <w:rPr>
          <w:rStyle w:val="FootnoteReference"/>
        </w:rPr>
        <w:footnoteRef/>
      </w:r>
      <w:r>
        <w:t xml:space="preserve"> </w:t>
      </w:r>
      <w:hyperlink r:id="rId7" w:history="1">
        <w:r w:rsidRPr="00B24705">
          <w:rPr>
            <w:rStyle w:val="Hyperlink"/>
          </w:rPr>
          <w:t>https://www.972mag.com/gaza-war-environmental-catastrophe/</w:t>
        </w:r>
      </w:hyperlink>
      <w:r>
        <w:t xml:space="preserve"> </w:t>
      </w:r>
    </w:p>
  </w:footnote>
  <w:footnote w:id="8">
    <w:p w14:paraId="65F8EAB8" w14:textId="3FF25E2B" w:rsidR="00060BF1" w:rsidRPr="00060BF1" w:rsidRDefault="00060BF1">
      <w:pPr>
        <w:pStyle w:val="FootnoteText"/>
        <w:rPr>
          <w:lang w:val="en-US"/>
        </w:rPr>
      </w:pPr>
      <w:r>
        <w:rPr>
          <w:rStyle w:val="FootnoteReference"/>
        </w:rPr>
        <w:footnoteRef/>
      </w:r>
      <w:r>
        <w:t xml:space="preserve"> </w:t>
      </w:r>
      <w:hyperlink r:id="rId8" w:history="1">
        <w:r w:rsidRPr="00B24705">
          <w:rPr>
            <w:rStyle w:val="Hyperlink"/>
          </w:rPr>
          <w:t>https://www.euronews.com/green/2024/06/07/jet-fuel-bombs-and-concrete-the-60-million-tonnes-of-carbon-generated-by-israels-war-on-ga</w:t>
        </w:r>
      </w:hyperlink>
      <w:r>
        <w:t xml:space="preserve"> </w:t>
      </w:r>
    </w:p>
  </w:footnote>
  <w:footnote w:id="9">
    <w:p w14:paraId="5D4EBBAB" w14:textId="7188A2A8" w:rsidR="00DC71F9" w:rsidRPr="00DC71F9" w:rsidRDefault="00DC71F9">
      <w:pPr>
        <w:pStyle w:val="FootnoteText"/>
        <w:rPr>
          <w:lang w:val="en-US"/>
        </w:rPr>
      </w:pPr>
      <w:r>
        <w:rPr>
          <w:rStyle w:val="FootnoteReference"/>
        </w:rPr>
        <w:footnoteRef/>
      </w:r>
      <w:r>
        <w:t xml:space="preserve"> </w:t>
      </w:r>
      <w:hyperlink r:id="rId9" w:history="1">
        <w:r w:rsidRPr="00B24705">
          <w:rPr>
            <w:rStyle w:val="Hyperlink"/>
          </w:rPr>
          <w:t>https://www.ohchr.org/en/press-releases/2024/01/over-one-hundred-days-war-israel-destroying-gazas-food-system-and</w:t>
        </w:r>
      </w:hyperlink>
      <w:r>
        <w:t xml:space="preserve"> </w:t>
      </w:r>
    </w:p>
  </w:footnote>
  <w:footnote w:id="10">
    <w:p w14:paraId="212E8BD5" w14:textId="61B68333" w:rsidR="003555BD" w:rsidRPr="003555BD" w:rsidRDefault="003555BD">
      <w:pPr>
        <w:pStyle w:val="FootnoteText"/>
        <w:rPr>
          <w:lang w:val="en-US"/>
        </w:rPr>
      </w:pPr>
      <w:r>
        <w:rPr>
          <w:rStyle w:val="FootnoteReference"/>
        </w:rPr>
        <w:footnoteRef/>
      </w:r>
      <w:r>
        <w:t xml:space="preserve"> </w:t>
      </w:r>
      <w:hyperlink r:id="rId10" w:history="1">
        <w:r w:rsidRPr="00367717">
          <w:rPr>
            <w:rStyle w:val="Hyperlink"/>
          </w:rPr>
          <w:t>https://www.reuters.com/world/middle-east/gaza-death-toll-how-many-palestinians-has-israels-campaign-killed-2024-07-25/</w:t>
        </w:r>
      </w:hyperlink>
      <w:r>
        <w:t xml:space="preserve"> </w:t>
      </w:r>
    </w:p>
  </w:footnote>
  <w:footnote w:id="11">
    <w:p w14:paraId="3A52FAE9" w14:textId="2F1331B1" w:rsidR="00705849" w:rsidRPr="00705849" w:rsidRDefault="00705849">
      <w:pPr>
        <w:pStyle w:val="FootnoteText"/>
        <w:rPr>
          <w:color w:val="4472C4" w:themeColor="accent1"/>
        </w:rPr>
      </w:pPr>
      <w:r w:rsidRPr="00705849">
        <w:rPr>
          <w:rStyle w:val="FootnoteReference"/>
          <w:color w:val="4472C4" w:themeColor="accent1"/>
        </w:rPr>
        <w:footnoteRef/>
      </w:r>
      <w:r w:rsidRPr="00705849">
        <w:rPr>
          <w:color w:val="4472C4" w:themeColor="accent1"/>
        </w:rPr>
        <w:t xml:space="preserve"> </w:t>
      </w:r>
      <w:hyperlink r:id="rId11" w:history="1">
        <w:r w:rsidRPr="00705849">
          <w:rPr>
            <w:color w:val="4472C4" w:themeColor="accent1"/>
            <w:sz w:val="22"/>
            <w:szCs w:val="22"/>
            <w:u w:val="single"/>
          </w:rPr>
          <w:t>Counting the dead in Gaza: difficult but essential - The Lancet</w:t>
        </w:r>
      </w:hyperlink>
      <w:r w:rsidRPr="00705849">
        <w:rPr>
          <w:color w:val="4472C4" w:themeColor="accent1"/>
          <w:sz w:val="22"/>
          <w:szCs w:val="22"/>
        </w:rPr>
        <w:t xml:space="preserve"> </w:t>
      </w:r>
    </w:p>
  </w:footnote>
  <w:footnote w:id="12">
    <w:p w14:paraId="583ED114" w14:textId="1C4F8DA7" w:rsidR="00737DB2" w:rsidRPr="00737DB2" w:rsidRDefault="00737DB2" w:rsidP="00737DB2">
      <w:pPr>
        <w:pStyle w:val="FootnoteText"/>
        <w:jc w:val="both"/>
        <w:rPr>
          <w:color w:val="6373BA"/>
          <w:lang w:val="en-US"/>
        </w:rPr>
      </w:pPr>
      <w:r w:rsidRPr="00737DB2">
        <w:rPr>
          <w:rStyle w:val="FootnoteReference"/>
        </w:rPr>
        <w:footnoteRef/>
      </w:r>
      <w:r w:rsidRPr="00737DB2">
        <w:t xml:space="preserve"> </w:t>
      </w:r>
      <w:hyperlink r:id="rId12" w:history="1">
        <w:r w:rsidRPr="00737DB2">
          <w:rPr>
            <w:color w:val="6373BA"/>
            <w:u w:val="single"/>
          </w:rPr>
          <w:t>LPHR legal briefing on starvation of civilians in Gaza - Lawyers for Palestinian Human Rights</w:t>
        </w:r>
      </w:hyperlink>
    </w:p>
  </w:footnote>
  <w:footnote w:id="13">
    <w:p w14:paraId="3EA0EF8B" w14:textId="3BD1BD93" w:rsidR="00737DB2" w:rsidRPr="00737DB2" w:rsidRDefault="00737DB2">
      <w:pPr>
        <w:pStyle w:val="FootnoteText"/>
        <w:rPr>
          <w:color w:val="6373BA"/>
          <w:lang w:val="en-US"/>
        </w:rPr>
      </w:pPr>
      <w:r w:rsidRPr="00737DB2">
        <w:rPr>
          <w:rStyle w:val="FootnoteReference"/>
          <w:color w:val="6373BA"/>
        </w:rPr>
        <w:footnoteRef/>
      </w:r>
      <w:r w:rsidRPr="00737DB2">
        <w:rPr>
          <w:color w:val="6373BA"/>
        </w:rPr>
        <w:t xml:space="preserve"> </w:t>
      </w:r>
      <w:hyperlink r:id="rId13" w:history="1">
        <w:r w:rsidRPr="00737DB2">
          <w:rPr>
            <w:color w:val="6373BA"/>
            <w:u w:val="single"/>
          </w:rPr>
          <w:t>BSG-WP-2019-031.pdf (ox.ac.uk)</w:t>
        </w:r>
      </w:hyperlink>
    </w:p>
  </w:footnote>
  <w:footnote w:id="14">
    <w:p w14:paraId="0C433CC4" w14:textId="3F6F1615" w:rsidR="00051883" w:rsidRPr="00051883" w:rsidRDefault="00051883" w:rsidP="00051883">
      <w:pPr>
        <w:pStyle w:val="FootnoteText"/>
        <w:rPr>
          <w:color w:val="6373BA"/>
          <w:lang w:val="en-US"/>
        </w:rPr>
      </w:pPr>
      <w:r>
        <w:rPr>
          <w:rStyle w:val="FootnoteReference"/>
        </w:rPr>
        <w:footnoteRef/>
      </w:r>
      <w:r>
        <w:t xml:space="preserve"> </w:t>
      </w:r>
      <w:hyperlink r:id="rId14" w:history="1">
        <w:r w:rsidRPr="00051883">
          <w:rPr>
            <w:rStyle w:val="Hyperlink"/>
            <w:color w:val="6373BA"/>
          </w:rPr>
          <w:t>https://www.yanisvaroufakis.eu/2023/10/15/list-of-war-crimes-and-crimes-qualifying-as-genocide-committed-by-israel-in-gaza-since-7th-october-2023/</w:t>
        </w:r>
      </w:hyperlink>
      <w:r w:rsidRPr="00051883">
        <w:rPr>
          <w:color w:val="6373BA"/>
        </w:rPr>
        <w:t xml:space="preserve"> </w:t>
      </w:r>
    </w:p>
  </w:footnote>
  <w:footnote w:id="15">
    <w:p w14:paraId="7F25B8D5" w14:textId="4E039DC4" w:rsidR="00C97AB6" w:rsidRPr="00B83C17" w:rsidRDefault="00C97AB6">
      <w:pPr>
        <w:pStyle w:val="FootnoteText"/>
        <w:rPr>
          <w:color w:val="6373BA"/>
          <w:lang w:val="en-US"/>
        </w:rPr>
      </w:pPr>
      <w:r w:rsidRPr="00150891">
        <w:rPr>
          <w:rStyle w:val="FootnoteReference"/>
        </w:rPr>
        <w:footnoteRef/>
      </w:r>
      <w:r w:rsidRPr="00150891">
        <w:t xml:space="preserve"> </w:t>
      </w:r>
      <w:r w:rsidRPr="00B83C17">
        <w:rPr>
          <w:color w:val="6373BA"/>
        </w:rPr>
        <w:t xml:space="preserve">s.53 of the International Criminal Court Act 2001 </w:t>
      </w:r>
    </w:p>
  </w:footnote>
  <w:footnote w:id="16">
    <w:p w14:paraId="27496D9A" w14:textId="37B5A806" w:rsidR="006454FD" w:rsidRPr="00274A6C" w:rsidRDefault="006454FD">
      <w:pPr>
        <w:pStyle w:val="FootnoteText"/>
        <w:rPr>
          <w:color w:val="6373BA"/>
          <w:lang w:val="en-US"/>
        </w:rPr>
      </w:pPr>
      <w:r w:rsidRPr="00B83C17">
        <w:rPr>
          <w:rStyle w:val="FootnoteReference"/>
          <w:color w:val="6373BA"/>
        </w:rPr>
        <w:footnoteRef/>
      </w:r>
      <w:r w:rsidRPr="00B83C17">
        <w:rPr>
          <w:color w:val="6373BA"/>
        </w:rPr>
        <w:t xml:space="preserve"> </w:t>
      </w:r>
      <w:hyperlink r:id="rId15" w:history="1">
        <w:r w:rsidRPr="00274A6C">
          <w:rPr>
            <w:rStyle w:val="Hyperlink"/>
            <w:color w:val="6373BA"/>
            <w:u w:val="none"/>
          </w:rPr>
          <w:t>Arms Trade Treaty enters into force - GOV.UK (www.gov.uk)</w:t>
        </w:r>
      </w:hyperlink>
    </w:p>
  </w:footnote>
  <w:footnote w:id="17">
    <w:p w14:paraId="42E54ABB" w14:textId="7D226B4F" w:rsidR="006454FD" w:rsidRPr="00274A6C" w:rsidRDefault="006454FD">
      <w:pPr>
        <w:pStyle w:val="FootnoteText"/>
        <w:rPr>
          <w:color w:val="6373BA"/>
          <w:lang w:val="en-US"/>
        </w:rPr>
      </w:pPr>
      <w:r w:rsidRPr="00274A6C">
        <w:rPr>
          <w:rStyle w:val="FootnoteReference"/>
          <w:color w:val="6373BA"/>
        </w:rPr>
        <w:footnoteRef/>
      </w:r>
      <w:r w:rsidRPr="00274A6C">
        <w:rPr>
          <w:color w:val="6373BA"/>
        </w:rPr>
        <w:t xml:space="preserve"> </w:t>
      </w:r>
      <w:hyperlink r:id="rId16" w:history="1">
        <w:r w:rsidRPr="00274A6C">
          <w:rPr>
            <w:color w:val="6373BA"/>
          </w:rPr>
          <w:t>Treaty Series No. 1 (2015) - Arms Trade Treaty (publishing.service.gov.uk)</w:t>
        </w:r>
      </w:hyperlink>
    </w:p>
  </w:footnote>
  <w:footnote w:id="18">
    <w:p w14:paraId="6576F1FF" w14:textId="77777777" w:rsidR="004D1CE7" w:rsidRPr="004D1CE7" w:rsidRDefault="004D1CE7" w:rsidP="004D1CE7">
      <w:pPr>
        <w:pStyle w:val="FootnoteText"/>
        <w:rPr>
          <w:color w:val="2F5496" w:themeColor="accent1" w:themeShade="BF"/>
        </w:rPr>
      </w:pPr>
      <w:r w:rsidRPr="004D1CE7">
        <w:rPr>
          <w:vertAlign w:val="superscript"/>
        </w:rPr>
        <w:footnoteRef/>
      </w:r>
      <w:r w:rsidRPr="004D1CE7">
        <w:rPr>
          <w:rFonts w:eastAsia="Arial Unicode MS" w:cs="Arial Unicode MS"/>
        </w:rPr>
        <w:t xml:space="preserve"> </w:t>
      </w:r>
      <w:hyperlink r:id="rId17" w:history="1">
        <w:r w:rsidRPr="004D1CE7">
          <w:rPr>
            <w:rStyle w:val="Hyperlink0"/>
            <w:rFonts w:eastAsia="Arial Unicode MS" w:cs="Arial Unicode MS"/>
            <w:color w:val="2F5496" w:themeColor="accent1" w:themeShade="BF"/>
          </w:rPr>
          <w:t>https://www.icj-cij.org/sites/default/files/case-related/192/192-20240126-ord-01-00-en.pdf</w:t>
        </w:r>
      </w:hyperlink>
      <w:r w:rsidRPr="004D1CE7">
        <w:rPr>
          <w:rFonts w:eastAsia="Arial Unicode MS" w:cs="Arial Unicode MS"/>
          <w:color w:val="2F5496" w:themeColor="accent1" w:themeShade="BF"/>
        </w:rPr>
        <w:t xml:space="preserve"> </w:t>
      </w:r>
    </w:p>
  </w:footnote>
  <w:footnote w:id="19">
    <w:p w14:paraId="19602E97" w14:textId="746542BE" w:rsidR="004D1CE7" w:rsidRPr="004D1CE7" w:rsidRDefault="004D1CE7">
      <w:pPr>
        <w:pStyle w:val="FootnoteText"/>
        <w:rPr>
          <w:color w:val="2F5496" w:themeColor="accent1" w:themeShade="BF"/>
          <w:lang w:val="en-US"/>
        </w:rPr>
      </w:pPr>
      <w:r w:rsidRPr="004D1CE7">
        <w:rPr>
          <w:rStyle w:val="FootnoteReference"/>
          <w:color w:val="2F5496" w:themeColor="accent1" w:themeShade="BF"/>
        </w:rPr>
        <w:footnoteRef/>
      </w:r>
      <w:r w:rsidRPr="004D1CE7">
        <w:rPr>
          <w:color w:val="2F5496" w:themeColor="accent1" w:themeShade="BF"/>
        </w:rPr>
        <w:t xml:space="preserve"> </w:t>
      </w:r>
      <w:hyperlink r:id="rId18" w:history="1">
        <w:r w:rsidRPr="004D1CE7">
          <w:rPr>
            <w:color w:val="2F5496" w:themeColor="accent1" w:themeShade="BF"/>
            <w:u w:val="single"/>
          </w:rPr>
          <w:t>Order of 26 January 2024 (icj-cij.org)</w:t>
        </w:r>
      </w:hyperlink>
      <w:r w:rsidRPr="004D1CE7">
        <w:rPr>
          <w:color w:val="2F5496" w:themeColor="accent1" w:themeShade="BF"/>
        </w:rPr>
        <w:t xml:space="preserve"> </w:t>
      </w:r>
    </w:p>
  </w:footnote>
  <w:footnote w:id="20">
    <w:p w14:paraId="074B9D9D" w14:textId="77777777" w:rsidR="007B7ACA" w:rsidRPr="00C4595A" w:rsidRDefault="007B7ACA" w:rsidP="007B7ACA">
      <w:pPr>
        <w:pStyle w:val="FootnoteText"/>
        <w:rPr>
          <w:lang w:val="en-US"/>
        </w:rPr>
      </w:pPr>
      <w:r>
        <w:rPr>
          <w:rStyle w:val="FootnoteReference"/>
        </w:rPr>
        <w:footnoteRef/>
      </w:r>
      <w:r>
        <w:t xml:space="preserve"> </w:t>
      </w:r>
      <w:hyperlink r:id="rId19" w:history="1">
        <w:r w:rsidRPr="000D09D7">
          <w:rPr>
            <w:rStyle w:val="Hyperlink"/>
          </w:rPr>
          <w:t>https://documents.un.org/doc/resolution/gen/nr0/370/60/pdf/nr037060.pdf</w:t>
        </w:r>
      </w:hyperlink>
      <w:r>
        <w:t xml:space="preserve"> </w:t>
      </w:r>
    </w:p>
  </w:footnote>
  <w:footnote w:id="21">
    <w:p w14:paraId="7AEA4DE3" w14:textId="77777777" w:rsidR="007B7ACA" w:rsidRPr="00C4595A" w:rsidRDefault="007B7ACA" w:rsidP="007B7ACA">
      <w:pPr>
        <w:pStyle w:val="FootnoteText"/>
        <w:rPr>
          <w:lang w:val="en-US"/>
        </w:rPr>
      </w:pPr>
      <w:r>
        <w:rPr>
          <w:rStyle w:val="FootnoteReference"/>
        </w:rPr>
        <w:footnoteRef/>
      </w:r>
      <w:r>
        <w:t xml:space="preserve"> </w:t>
      </w:r>
      <w:hyperlink r:id="rId20" w:history="1">
        <w:r w:rsidRPr="000D09D7">
          <w:rPr>
            <w:rStyle w:val="Hyperlink"/>
          </w:rPr>
          <w:t>https://documents.un.org/doc/resolution/gen/nr0/399/71/pdf/nr039971.pdf</w:t>
        </w:r>
      </w:hyperlink>
      <w:r>
        <w:t xml:space="preserve"> </w:t>
      </w:r>
    </w:p>
  </w:footnote>
  <w:footnote w:id="22">
    <w:p w14:paraId="09BAE85B" w14:textId="77777777" w:rsidR="007B7ACA" w:rsidRPr="00C4595A" w:rsidRDefault="007B7ACA" w:rsidP="007B7ACA">
      <w:pPr>
        <w:pStyle w:val="FootnoteText"/>
        <w:rPr>
          <w:lang w:val="en-US"/>
        </w:rPr>
      </w:pPr>
      <w:r>
        <w:rPr>
          <w:rStyle w:val="FootnoteReference"/>
        </w:rPr>
        <w:footnoteRef/>
      </w:r>
      <w:r>
        <w:t xml:space="preserve"> </w:t>
      </w:r>
      <w:hyperlink r:id="rId21" w:history="1">
        <w:r w:rsidRPr="000D09D7">
          <w:rPr>
            <w:rStyle w:val="Hyperlink"/>
          </w:rPr>
          <w:t>https://www.un.org/webcast/pdfs/SRES2334-2016.pdf</w:t>
        </w:r>
      </w:hyperlink>
      <w:r>
        <w:t xml:space="preserve"> </w:t>
      </w:r>
    </w:p>
  </w:footnote>
  <w:footnote w:id="23">
    <w:p w14:paraId="62708FB2" w14:textId="77777777" w:rsidR="007B7ACA" w:rsidRPr="007315CA" w:rsidRDefault="007B7ACA" w:rsidP="007B7ACA">
      <w:pPr>
        <w:pStyle w:val="FootnoteText"/>
        <w:rPr>
          <w:lang w:val="en-US"/>
        </w:rPr>
      </w:pPr>
      <w:r>
        <w:rPr>
          <w:rStyle w:val="FootnoteReference"/>
        </w:rPr>
        <w:footnoteRef/>
      </w:r>
      <w:r>
        <w:t xml:space="preserve"> </w:t>
      </w:r>
      <w:hyperlink r:id="rId22" w:history="1">
        <w:r>
          <w:rPr>
            <w:rStyle w:val="Hyperlink"/>
          </w:rPr>
          <w:t>Experts hail ICJ declaration on illegality of Israel’s presence in the occupied Palestinian territory as “historic” for Palestinians and international law | OHCHR</w:t>
        </w:r>
      </w:hyperlink>
    </w:p>
  </w:footnote>
  <w:footnote w:id="24">
    <w:p w14:paraId="1345990D" w14:textId="77777777" w:rsidR="007B7ACA" w:rsidRPr="00C4595A" w:rsidRDefault="007B7ACA" w:rsidP="007B7ACA">
      <w:pPr>
        <w:pStyle w:val="FootnoteText"/>
        <w:rPr>
          <w:lang w:val="en-US"/>
        </w:rPr>
      </w:pPr>
      <w:r>
        <w:rPr>
          <w:rStyle w:val="FootnoteReference"/>
        </w:rPr>
        <w:footnoteRef/>
      </w:r>
      <w:r>
        <w:t xml:space="preserve"> </w:t>
      </w:r>
      <w:hyperlink r:id="rId23" w:history="1">
        <w:r w:rsidRPr="000D09D7">
          <w:rPr>
            <w:rStyle w:val="Hyperlink"/>
          </w:rPr>
          <w:t>https://www.ohchr.org/en/press-releases/2024/03/un-human-rights-chief-deplores-new-moves-expand-israeli-settlements-occupied</w:t>
        </w:r>
      </w:hyperlink>
      <w:r>
        <w:t xml:space="preserve"> </w:t>
      </w:r>
    </w:p>
  </w:footnote>
  <w:footnote w:id="25">
    <w:p w14:paraId="700D4516" w14:textId="77777777" w:rsidR="007B7ACA" w:rsidRPr="00C4595A" w:rsidRDefault="007B7ACA" w:rsidP="007B7ACA">
      <w:pPr>
        <w:pStyle w:val="FootnoteText"/>
        <w:rPr>
          <w:lang w:val="en-US"/>
        </w:rPr>
      </w:pPr>
      <w:r>
        <w:rPr>
          <w:rStyle w:val="FootnoteReference"/>
        </w:rPr>
        <w:footnoteRef/>
      </w:r>
      <w:r>
        <w:t xml:space="preserve"> </w:t>
      </w:r>
      <w:hyperlink r:id="rId24" w:history="1">
        <w:r w:rsidRPr="000D09D7">
          <w:rPr>
            <w:rStyle w:val="Hyperlink"/>
          </w:rPr>
          <w:t>https://www.ohchr.org/en/press-releases/2024/03/un-human-rights-chief-deplores-new-moves-expand-israeli-settlements-occupied</w:t>
        </w:r>
      </w:hyperlink>
      <w:r>
        <w:t xml:space="preserve"> </w:t>
      </w:r>
    </w:p>
  </w:footnote>
  <w:footnote w:id="26">
    <w:p w14:paraId="1EB71259" w14:textId="210512DD" w:rsidR="009C5B85" w:rsidRPr="009C5B85" w:rsidRDefault="009C5B85">
      <w:pPr>
        <w:pStyle w:val="FootnoteText"/>
        <w:rPr>
          <w:color w:val="2F5496" w:themeColor="accent1" w:themeShade="BF"/>
          <w:lang w:val="en-US"/>
        </w:rPr>
      </w:pPr>
      <w:r>
        <w:rPr>
          <w:rStyle w:val="FootnoteReference"/>
        </w:rPr>
        <w:footnoteRef/>
      </w:r>
      <w:r>
        <w:t xml:space="preserve"> </w:t>
      </w:r>
      <w:hyperlink r:id="rId25" w:history="1">
        <w:r w:rsidRPr="009C5B85">
          <w:rPr>
            <w:rStyle w:val="Hyperlink"/>
            <w:color w:val="2F5496" w:themeColor="accent1" w:themeShade="BF"/>
          </w:rPr>
          <w:t>Letter to the UK Government Calling for an Immediate Halt to UK Arms Transfers to the Government of Israel | Human Rights Watch (hrw.org)</w:t>
        </w:r>
      </w:hyperlink>
    </w:p>
  </w:footnote>
  <w:footnote w:id="27">
    <w:p w14:paraId="7BA20089" w14:textId="77777777" w:rsidR="00E07CC8" w:rsidRPr="002151C0" w:rsidRDefault="00E07CC8" w:rsidP="00E07CC8">
      <w:pPr>
        <w:pStyle w:val="FootnoteText"/>
        <w:rPr>
          <w:color w:val="2F5496" w:themeColor="accent1" w:themeShade="BF"/>
          <w:lang w:val="en-US"/>
        </w:rPr>
      </w:pPr>
      <w:r w:rsidRPr="002151C0">
        <w:rPr>
          <w:rStyle w:val="FootnoteReference"/>
          <w:color w:val="2F5496" w:themeColor="accent1" w:themeShade="BF"/>
        </w:rPr>
        <w:footnoteRef/>
      </w:r>
      <w:r w:rsidRPr="002151C0">
        <w:rPr>
          <w:color w:val="2F5496" w:themeColor="accent1" w:themeShade="BF"/>
        </w:rPr>
        <w:t xml:space="preserve"> </w:t>
      </w:r>
      <w:hyperlink r:id="rId26" w:anchor=":~:text=The%20death%20toll%20in%20Gaza,for%20an%20attack%20on%20Rafah." w:history="1">
        <w:r w:rsidRPr="002151C0">
          <w:rPr>
            <w:rStyle w:val="Hyperlink"/>
            <w:color w:val="2F5496" w:themeColor="accent1" w:themeShade="BF"/>
          </w:rPr>
          <w:t>Gaza death toll set to pass 30,000, as Israel prepares assault on Rafah | Gaza | The Guardian</w:t>
        </w:r>
      </w:hyperlink>
    </w:p>
  </w:footnote>
  <w:footnote w:id="28">
    <w:p w14:paraId="5F198EC9" w14:textId="105EEB33" w:rsidR="002151C0" w:rsidRPr="002151C0" w:rsidRDefault="002151C0">
      <w:pPr>
        <w:pStyle w:val="FootnoteText"/>
        <w:rPr>
          <w:color w:val="2F5496" w:themeColor="accent1" w:themeShade="BF"/>
          <w:lang w:val="en-US"/>
        </w:rPr>
      </w:pPr>
      <w:r>
        <w:rPr>
          <w:rStyle w:val="FootnoteReference"/>
        </w:rPr>
        <w:footnoteRef/>
      </w:r>
      <w:r>
        <w:t xml:space="preserve"> </w:t>
      </w:r>
      <w:hyperlink r:id="rId27" w:history="1">
        <w:r w:rsidRPr="002151C0">
          <w:rPr>
            <w:color w:val="2F5496" w:themeColor="accent1" w:themeShade="BF"/>
            <w:u w:val="single"/>
          </w:rPr>
          <w:t xml:space="preserve">Israel-Hamas war: European Union foreign policy chief Josep Borrell criticises the US's rhetoric on protecting civilians in Gaza while </w:t>
        </w:r>
        <w:proofErr w:type="gramStart"/>
        <w:r w:rsidRPr="002151C0">
          <w:rPr>
            <w:color w:val="2F5496" w:themeColor="accent1" w:themeShade="BF"/>
            <w:u w:val="single"/>
          </w:rPr>
          <w:t>it</w:t>
        </w:r>
        <w:proofErr w:type="gramEnd"/>
        <w:r w:rsidRPr="002151C0">
          <w:rPr>
            <w:color w:val="2F5496" w:themeColor="accent1" w:themeShade="BF"/>
            <w:u w:val="single"/>
          </w:rPr>
          <w:t xml:space="preserve"> amps up military aid to Israel | World News | Sky News</w:t>
        </w:r>
      </w:hyperlink>
    </w:p>
  </w:footnote>
  <w:footnote w:id="29">
    <w:p w14:paraId="35C0A2A4" w14:textId="66269932" w:rsidR="004B7F4E" w:rsidRPr="004B7F4E" w:rsidRDefault="004B7F4E">
      <w:pPr>
        <w:pStyle w:val="FootnoteText"/>
        <w:rPr>
          <w:lang w:val="en-US"/>
        </w:rPr>
      </w:pPr>
      <w:r>
        <w:rPr>
          <w:rStyle w:val="FootnoteReference"/>
        </w:rPr>
        <w:footnoteRef/>
      </w:r>
      <w:r>
        <w:t xml:space="preserve"> </w:t>
      </w:r>
      <w:hyperlink r:id="rId28" w:history="1">
        <w:r w:rsidRPr="00367717">
          <w:rPr>
            <w:rStyle w:val="Hyperlink"/>
          </w:rPr>
          <w:t>https://register-of-charities.charitycommission.gov.uk/charity-search/-/charity-details/4019048/governing-document</w:t>
        </w:r>
      </w:hyperlink>
      <w:r>
        <w:t xml:space="preserve"> </w:t>
      </w:r>
    </w:p>
  </w:footnote>
  <w:footnote w:id="30">
    <w:p w14:paraId="21073FD7" w14:textId="77471588" w:rsidR="00D55EEA" w:rsidRPr="00274A6C" w:rsidRDefault="00D55EEA">
      <w:pPr>
        <w:pStyle w:val="FootnoteText"/>
        <w:rPr>
          <w:color w:val="4472C4" w:themeColor="accent1"/>
          <w:lang w:val="en-US"/>
        </w:rPr>
      </w:pPr>
      <w:r>
        <w:rPr>
          <w:rStyle w:val="FootnoteReference"/>
        </w:rPr>
        <w:footnoteRef/>
      </w:r>
      <w:r>
        <w:t xml:space="preserve"> </w:t>
      </w:r>
      <w:hyperlink r:id="rId29" w:history="1">
        <w:r w:rsidR="00274A6C" w:rsidRPr="00274A6C">
          <w:rPr>
            <w:rStyle w:val="Hyperlink"/>
            <w:color w:val="4472C4" w:themeColor="accent1"/>
          </w:rPr>
          <w:t>https://www.theguardian.com/world/2024/mar/30/uk-government-lawyers-say-israel-is-breaking-international-law-claims-top-tory-in-leaked-recording</w:t>
        </w:r>
      </w:hyperlink>
      <w:r w:rsidR="00274A6C" w:rsidRPr="00274A6C">
        <w:rPr>
          <w:color w:val="4472C4" w:themeColor="accent1"/>
        </w:rPr>
        <w:t xml:space="preserve"> </w:t>
      </w:r>
    </w:p>
  </w:footnote>
  <w:footnote w:id="31">
    <w:p w14:paraId="72C458AC" w14:textId="3D602594" w:rsidR="00570D95" w:rsidRPr="00570D95" w:rsidRDefault="00570D95">
      <w:pPr>
        <w:pStyle w:val="FootnoteText"/>
        <w:rPr>
          <w:color w:val="4472C4" w:themeColor="accent1"/>
          <w:lang w:val="en-US"/>
        </w:rPr>
      </w:pPr>
      <w:r w:rsidRPr="00570D95">
        <w:rPr>
          <w:rStyle w:val="FootnoteReference"/>
          <w:color w:val="4472C4" w:themeColor="accent1"/>
        </w:rPr>
        <w:footnoteRef/>
      </w:r>
      <w:r w:rsidRPr="00570D95">
        <w:rPr>
          <w:color w:val="4472C4" w:themeColor="accent1"/>
        </w:rPr>
        <w:t xml:space="preserve"> </w:t>
      </w:r>
      <w:hyperlink r:id="rId30" w:history="1">
        <w:r w:rsidRPr="00570D95">
          <w:rPr>
            <w:color w:val="4472C4" w:themeColor="accent1"/>
            <w:u w:val="single"/>
          </w:rPr>
          <w:t>Arms Export Licences: Israel - Hansard - UK Parliament</w:t>
        </w:r>
      </w:hyperlink>
    </w:p>
  </w:footnote>
  <w:footnote w:id="32">
    <w:p w14:paraId="55D44404" w14:textId="42A1912E" w:rsidR="00274A6C" w:rsidRPr="00274A6C" w:rsidRDefault="00274A6C">
      <w:pPr>
        <w:pStyle w:val="FootnoteText"/>
        <w:rPr>
          <w:color w:val="4472C4" w:themeColor="accent1"/>
          <w:lang w:val="en-US"/>
        </w:rPr>
      </w:pPr>
      <w:r w:rsidRPr="00274A6C">
        <w:rPr>
          <w:rStyle w:val="FootnoteReference"/>
          <w:color w:val="4472C4" w:themeColor="accent1"/>
        </w:rPr>
        <w:footnoteRef/>
      </w:r>
      <w:r w:rsidRPr="00274A6C">
        <w:rPr>
          <w:color w:val="4472C4" w:themeColor="accent1"/>
        </w:rPr>
        <w:t xml:space="preserve"> </w:t>
      </w:r>
      <w:hyperlink r:id="rId31" w:history="1">
        <w:r w:rsidRPr="00274A6C">
          <w:rPr>
            <w:rStyle w:val="Hyperlink"/>
            <w:color w:val="4472C4" w:themeColor="accent1"/>
          </w:rPr>
          <w:t>https://www.ohchr.org/en/documents/country-reports/ahrc5573-report-special-rapporteur-situation-human-rights-palestinian</w:t>
        </w:r>
      </w:hyperlink>
      <w:r w:rsidRPr="00274A6C">
        <w:rPr>
          <w:color w:val="4472C4" w:themeColor="accent1"/>
        </w:rPr>
        <w:t xml:space="preserve"> </w:t>
      </w:r>
    </w:p>
  </w:footnote>
  <w:footnote w:id="33">
    <w:p w14:paraId="4486D8D7" w14:textId="25A537EB" w:rsidR="009A3846" w:rsidRPr="009A3846" w:rsidRDefault="009A3846">
      <w:pPr>
        <w:pStyle w:val="FootnoteText"/>
        <w:rPr>
          <w:color w:val="4472C4" w:themeColor="accent1"/>
          <w:lang w:val="en-US"/>
        </w:rPr>
      </w:pPr>
      <w:r>
        <w:rPr>
          <w:rStyle w:val="FootnoteReference"/>
        </w:rPr>
        <w:footnoteRef/>
      </w:r>
      <w:r>
        <w:t xml:space="preserve"> </w:t>
      </w:r>
      <w:r w:rsidRPr="009A3846">
        <w:rPr>
          <w:color w:val="4472C4" w:themeColor="accent1"/>
        </w:rPr>
        <w:t>https://hansard.parliament.uk/commons/2024-02-21/debates/610A4D12-A333-4885-9D0B-0A225C35C043/CeasefireInGaza</w:t>
      </w:r>
    </w:p>
  </w:footnote>
  <w:footnote w:id="34">
    <w:p w14:paraId="698C86B1" w14:textId="3BAB8287" w:rsidR="00673AA0" w:rsidRPr="00673AA0" w:rsidRDefault="00673AA0">
      <w:pPr>
        <w:pStyle w:val="FootnoteText"/>
        <w:rPr>
          <w:color w:val="227ACB"/>
          <w:lang w:val="en-US"/>
        </w:rPr>
      </w:pPr>
      <w:r>
        <w:rPr>
          <w:rStyle w:val="FootnoteReference"/>
        </w:rPr>
        <w:footnoteRef/>
      </w:r>
      <w:r>
        <w:t xml:space="preserve"> </w:t>
      </w:r>
      <w:hyperlink r:id="rId32" w:history="1">
        <w:r w:rsidRPr="00673AA0">
          <w:rPr>
            <w:color w:val="227ACB"/>
            <w:u w:val="single"/>
          </w:rPr>
          <w:t>Statement of ICC Prosecutor Karim A.A. Khan KC: Applications for arrest warrants in the situation in the State of Palestine | International Criminal Court (icc-cpi.int)</w:t>
        </w:r>
      </w:hyperlink>
    </w:p>
  </w:footnote>
  <w:footnote w:id="35">
    <w:p w14:paraId="5AFA1A84" w14:textId="660A221F" w:rsidR="00570D95" w:rsidRPr="00570D95" w:rsidRDefault="00570D95">
      <w:pPr>
        <w:pStyle w:val="FootnoteText"/>
        <w:rPr>
          <w:lang w:val="en-US"/>
        </w:rPr>
      </w:pPr>
      <w:r w:rsidRPr="00570D95">
        <w:rPr>
          <w:rStyle w:val="FootnoteReference"/>
          <w:color w:val="4472C4" w:themeColor="accent1"/>
        </w:rPr>
        <w:footnoteRef/>
      </w:r>
      <w:r w:rsidRPr="00570D95">
        <w:rPr>
          <w:color w:val="4472C4" w:themeColor="accent1"/>
        </w:rPr>
        <w:t xml:space="preserve"> </w:t>
      </w:r>
      <w:hyperlink r:id="rId33" w:history="1">
        <w:r w:rsidRPr="00570D95">
          <w:rPr>
            <w:color w:val="4472C4" w:themeColor="accent1"/>
            <w:u w:val="single"/>
          </w:rPr>
          <w:t>Statement of ICC Prosecutor Karim A.A. Khan KC: Applications for arrest warrants in the situation in the State of Palestine | International Criminal Court (icc-cpi.int)</w:t>
        </w:r>
      </w:hyperlink>
    </w:p>
  </w:footnote>
  <w:footnote w:id="36">
    <w:p w14:paraId="706D73A1" w14:textId="77777777" w:rsidR="00BA1298" w:rsidRPr="00BA1298" w:rsidRDefault="00BA1298" w:rsidP="00BA1298">
      <w:pPr>
        <w:pStyle w:val="FootnoteText"/>
        <w:rPr>
          <w:lang w:val="en-US"/>
        </w:rPr>
      </w:pPr>
      <w:r>
        <w:rPr>
          <w:rStyle w:val="FootnoteReference"/>
        </w:rPr>
        <w:footnoteRef/>
      </w:r>
      <w:r>
        <w:t xml:space="preserve"> </w:t>
      </w:r>
      <w:hyperlink r:id="rId34" w:history="1">
        <w:r w:rsidRPr="00367717">
          <w:rPr>
            <w:rStyle w:val="Hyperlink"/>
          </w:rPr>
          <w:t>https://www.theguardian.com/world/article/2024/aug/18/foreign-office-official-quits-over-uk-refusal-to-ban-arms-exports-to-israel</w:t>
        </w:r>
      </w:hyperlink>
      <w:r>
        <w:t xml:space="preserve"> </w:t>
      </w:r>
    </w:p>
  </w:footnote>
  <w:footnote w:id="37">
    <w:p w14:paraId="31F9E6F1" w14:textId="77777777" w:rsidR="00BA1298" w:rsidRPr="00BA1298" w:rsidRDefault="00BA1298" w:rsidP="00BA1298">
      <w:pPr>
        <w:pStyle w:val="FootnoteText"/>
        <w:rPr>
          <w:lang w:val="en-US"/>
        </w:rPr>
      </w:pPr>
      <w:r>
        <w:rPr>
          <w:rStyle w:val="FootnoteReference"/>
        </w:rPr>
        <w:footnoteRef/>
      </w:r>
      <w:r>
        <w:t xml:space="preserve"> </w:t>
      </w:r>
      <w:hyperlink r:id="rId35" w:history="1">
        <w:r w:rsidRPr="00367717">
          <w:rPr>
            <w:rStyle w:val="Hyperlink"/>
          </w:rPr>
          <w:t>https://x.com/BDSmovement/status/1825604919279210780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13B1"/>
    <w:multiLevelType w:val="hybridMultilevel"/>
    <w:tmpl w:val="1D9AF3E6"/>
    <w:styleLink w:val="Lettered"/>
    <w:lvl w:ilvl="0" w:tplc="82383D64">
      <w:start w:val="1"/>
      <w:numFmt w:val="upperLetter"/>
      <w:lvlText w:val="%1."/>
      <w:lvlJc w:val="left"/>
      <w:pPr>
        <w:ind w:left="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8D6ECEC">
      <w:start w:val="1"/>
      <w:numFmt w:val="lowerLetter"/>
      <w:lvlText w:val="(%2)"/>
      <w:lvlJc w:val="left"/>
      <w:pPr>
        <w:ind w:left="1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FFA3928">
      <w:start w:val="1"/>
      <w:numFmt w:val="lowerLetter"/>
      <w:lvlText w:val="(%3)"/>
      <w:lvlJc w:val="left"/>
      <w:pPr>
        <w:ind w:left="2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04BDDA">
      <w:start w:val="1"/>
      <w:numFmt w:val="lowerLetter"/>
      <w:lvlText w:val="(%4)"/>
      <w:lvlJc w:val="left"/>
      <w:pPr>
        <w:ind w:left="3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3EEC752">
      <w:start w:val="1"/>
      <w:numFmt w:val="upperLetter"/>
      <w:lvlText w:val="%5."/>
      <w:lvlJc w:val="left"/>
      <w:pPr>
        <w:ind w:left="4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7F43FC2">
      <w:start w:val="1"/>
      <w:numFmt w:val="upperLetter"/>
      <w:lvlText w:val="%6."/>
      <w:lvlJc w:val="left"/>
      <w:pPr>
        <w:ind w:left="5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2CC9992">
      <w:start w:val="1"/>
      <w:numFmt w:val="upperLetter"/>
      <w:lvlText w:val="%7."/>
      <w:lvlJc w:val="left"/>
      <w:pPr>
        <w:ind w:left="6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82C74CA">
      <w:start w:val="1"/>
      <w:numFmt w:val="upperLetter"/>
      <w:lvlText w:val="%8."/>
      <w:lvlJc w:val="left"/>
      <w:pPr>
        <w:ind w:left="7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863D26">
      <w:start w:val="1"/>
      <w:numFmt w:val="upperLetter"/>
      <w:lvlText w:val="%9."/>
      <w:lvlJc w:val="left"/>
      <w:pPr>
        <w:ind w:left="8316" w:hanging="31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4454A39"/>
    <w:multiLevelType w:val="hybridMultilevel"/>
    <w:tmpl w:val="86D06082"/>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16E03426"/>
    <w:multiLevelType w:val="hybridMultilevel"/>
    <w:tmpl w:val="FFFFFFFF"/>
    <w:numStyleLink w:val="ImportedStyle1"/>
  </w:abstractNum>
  <w:abstractNum w:abstractNumId="3" w15:restartNumberingAfterBreak="0">
    <w:nsid w:val="25A13B1A"/>
    <w:multiLevelType w:val="hybridMultilevel"/>
    <w:tmpl w:val="FFFFFFFF"/>
    <w:styleLink w:val="ImportedStyle1"/>
    <w:lvl w:ilvl="0" w:tplc="45A09146">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33C4BAE">
      <w:start w:val="1"/>
      <w:numFmt w:val="lowerLetter"/>
      <w:lvlText w:val="%2."/>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B2F04696">
      <w:start w:val="1"/>
      <w:numFmt w:val="lowerRoman"/>
      <w:lvlText w:val="%3."/>
      <w:lvlJc w:val="left"/>
      <w:pPr>
        <w:ind w:left="180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3" w:tplc="41665992">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C78CAEA">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AF4E810">
      <w:start w:val="1"/>
      <w:numFmt w:val="lowerRoman"/>
      <w:lvlText w:val="%6."/>
      <w:lvlJc w:val="left"/>
      <w:pPr>
        <w:ind w:left="3960" w:hanging="290"/>
      </w:pPr>
      <w:rPr>
        <w:rFonts w:hAnsi="Arial Unicode MS"/>
        <w:i/>
        <w:iCs/>
        <w:caps w:val="0"/>
        <w:smallCaps w:val="0"/>
        <w:strike w:val="0"/>
        <w:dstrike w:val="0"/>
        <w:outline w:val="0"/>
        <w:emboss w:val="0"/>
        <w:imprint w:val="0"/>
        <w:spacing w:val="0"/>
        <w:w w:val="100"/>
        <w:kern w:val="0"/>
        <w:position w:val="0"/>
        <w:highlight w:val="none"/>
        <w:vertAlign w:val="baseline"/>
      </w:rPr>
    </w:lvl>
    <w:lvl w:ilvl="6" w:tplc="2AFEC0A8">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95902286">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8C2B156">
      <w:start w:val="1"/>
      <w:numFmt w:val="lowerRoman"/>
      <w:lvlText w:val="%9."/>
      <w:lvlJc w:val="left"/>
      <w:pPr>
        <w:ind w:left="6120" w:hanging="29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74948FE"/>
    <w:multiLevelType w:val="hybridMultilevel"/>
    <w:tmpl w:val="F098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20FD3"/>
    <w:multiLevelType w:val="hybridMultilevel"/>
    <w:tmpl w:val="1D9AF3E6"/>
    <w:numStyleLink w:val="Lettered"/>
  </w:abstractNum>
  <w:abstractNum w:abstractNumId="6" w15:restartNumberingAfterBreak="0">
    <w:nsid w:val="2C7D05BB"/>
    <w:multiLevelType w:val="hybridMultilevel"/>
    <w:tmpl w:val="24AA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40FC2"/>
    <w:multiLevelType w:val="hybridMultilevel"/>
    <w:tmpl w:val="665A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375F5"/>
    <w:multiLevelType w:val="hybridMultilevel"/>
    <w:tmpl w:val="FFFFFFFF"/>
    <w:numStyleLink w:val="ImportedStyle1"/>
  </w:abstractNum>
  <w:abstractNum w:abstractNumId="9" w15:restartNumberingAfterBreak="0">
    <w:nsid w:val="5D5E357B"/>
    <w:multiLevelType w:val="multilevel"/>
    <w:tmpl w:val="ED7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6D52EA"/>
    <w:multiLevelType w:val="hybridMultilevel"/>
    <w:tmpl w:val="65F0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6A62F8"/>
    <w:multiLevelType w:val="hybridMultilevel"/>
    <w:tmpl w:val="E43698F6"/>
    <w:lvl w:ilvl="0" w:tplc="50B6BCD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26738232">
    <w:abstractNumId w:val="7"/>
  </w:num>
  <w:num w:numId="2" w16cid:durableId="125047697">
    <w:abstractNumId w:val="3"/>
  </w:num>
  <w:num w:numId="3" w16cid:durableId="1113553615">
    <w:abstractNumId w:val="8"/>
  </w:num>
  <w:num w:numId="4" w16cid:durableId="624312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570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3167442">
    <w:abstractNumId w:val="0"/>
  </w:num>
  <w:num w:numId="7" w16cid:durableId="1985162600">
    <w:abstractNumId w:val="5"/>
  </w:num>
  <w:num w:numId="8" w16cid:durableId="179439541">
    <w:abstractNumId w:val="2"/>
  </w:num>
  <w:num w:numId="9" w16cid:durableId="556934366">
    <w:abstractNumId w:val="9"/>
  </w:num>
  <w:num w:numId="10" w16cid:durableId="285890144">
    <w:abstractNumId w:val="10"/>
  </w:num>
  <w:num w:numId="11" w16cid:durableId="420682742">
    <w:abstractNumId w:val="6"/>
  </w:num>
  <w:num w:numId="12" w16cid:durableId="848982355">
    <w:abstractNumId w:val="4"/>
  </w:num>
  <w:num w:numId="13" w16cid:durableId="1557667553">
    <w:abstractNumId w:val="11"/>
  </w:num>
  <w:num w:numId="14" w16cid:durableId="47077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5C"/>
    <w:rsid w:val="00024B7D"/>
    <w:rsid w:val="0002644D"/>
    <w:rsid w:val="00027C69"/>
    <w:rsid w:val="00051883"/>
    <w:rsid w:val="00053603"/>
    <w:rsid w:val="00056BE1"/>
    <w:rsid w:val="00060BF1"/>
    <w:rsid w:val="00067513"/>
    <w:rsid w:val="00070050"/>
    <w:rsid w:val="00084C0A"/>
    <w:rsid w:val="000A3482"/>
    <w:rsid w:val="000B7104"/>
    <w:rsid w:val="000C547A"/>
    <w:rsid w:val="000E0B18"/>
    <w:rsid w:val="000E270E"/>
    <w:rsid w:val="000F3894"/>
    <w:rsid w:val="00115DFF"/>
    <w:rsid w:val="00141801"/>
    <w:rsid w:val="00144F2C"/>
    <w:rsid w:val="00150891"/>
    <w:rsid w:val="00172570"/>
    <w:rsid w:val="00172D14"/>
    <w:rsid w:val="00174682"/>
    <w:rsid w:val="00177C7D"/>
    <w:rsid w:val="001A3D44"/>
    <w:rsid w:val="001B7524"/>
    <w:rsid w:val="001C17D9"/>
    <w:rsid w:val="001D28FF"/>
    <w:rsid w:val="002148B9"/>
    <w:rsid w:val="002151C0"/>
    <w:rsid w:val="00222099"/>
    <w:rsid w:val="00245AC2"/>
    <w:rsid w:val="00250B9A"/>
    <w:rsid w:val="002558F5"/>
    <w:rsid w:val="00266F9E"/>
    <w:rsid w:val="00274A6C"/>
    <w:rsid w:val="00296654"/>
    <w:rsid w:val="00297805"/>
    <w:rsid w:val="002A1D3B"/>
    <w:rsid w:val="002A359B"/>
    <w:rsid w:val="002A60F9"/>
    <w:rsid w:val="002B2D97"/>
    <w:rsid w:val="002C5F6E"/>
    <w:rsid w:val="002C7AC3"/>
    <w:rsid w:val="002D0376"/>
    <w:rsid w:val="002F396F"/>
    <w:rsid w:val="003121AB"/>
    <w:rsid w:val="003347ED"/>
    <w:rsid w:val="00344B49"/>
    <w:rsid w:val="00345771"/>
    <w:rsid w:val="00353A73"/>
    <w:rsid w:val="003555BD"/>
    <w:rsid w:val="00362CB4"/>
    <w:rsid w:val="00375C23"/>
    <w:rsid w:val="00376DBF"/>
    <w:rsid w:val="00377814"/>
    <w:rsid w:val="0038752E"/>
    <w:rsid w:val="00390E2E"/>
    <w:rsid w:val="00392637"/>
    <w:rsid w:val="0039332D"/>
    <w:rsid w:val="003A5DE7"/>
    <w:rsid w:val="003B07C7"/>
    <w:rsid w:val="003B333F"/>
    <w:rsid w:val="003E035B"/>
    <w:rsid w:val="003E1EC4"/>
    <w:rsid w:val="003E2F07"/>
    <w:rsid w:val="003F7354"/>
    <w:rsid w:val="00412857"/>
    <w:rsid w:val="004230E9"/>
    <w:rsid w:val="00426E70"/>
    <w:rsid w:val="00437B5F"/>
    <w:rsid w:val="00451A7A"/>
    <w:rsid w:val="00455DE3"/>
    <w:rsid w:val="004676C1"/>
    <w:rsid w:val="00475037"/>
    <w:rsid w:val="00475F43"/>
    <w:rsid w:val="004801A8"/>
    <w:rsid w:val="00481F61"/>
    <w:rsid w:val="00497E97"/>
    <w:rsid w:val="004B7F4E"/>
    <w:rsid w:val="004C5AED"/>
    <w:rsid w:val="004D0DAF"/>
    <w:rsid w:val="004D1CE7"/>
    <w:rsid w:val="004D3BC6"/>
    <w:rsid w:val="004D594B"/>
    <w:rsid w:val="004F0393"/>
    <w:rsid w:val="004F1F42"/>
    <w:rsid w:val="004F7992"/>
    <w:rsid w:val="0050423E"/>
    <w:rsid w:val="0053363A"/>
    <w:rsid w:val="005419D8"/>
    <w:rsid w:val="005433D3"/>
    <w:rsid w:val="00557FB3"/>
    <w:rsid w:val="005611FB"/>
    <w:rsid w:val="00570D95"/>
    <w:rsid w:val="00593BB5"/>
    <w:rsid w:val="0059779A"/>
    <w:rsid w:val="005A57BF"/>
    <w:rsid w:val="005A5F0C"/>
    <w:rsid w:val="005B1CC7"/>
    <w:rsid w:val="005B73AC"/>
    <w:rsid w:val="005C06F8"/>
    <w:rsid w:val="005C0761"/>
    <w:rsid w:val="005E23D2"/>
    <w:rsid w:val="005E77C9"/>
    <w:rsid w:val="005F10C4"/>
    <w:rsid w:val="005F3839"/>
    <w:rsid w:val="006045FD"/>
    <w:rsid w:val="006118B8"/>
    <w:rsid w:val="00614C4B"/>
    <w:rsid w:val="00622373"/>
    <w:rsid w:val="00622EC5"/>
    <w:rsid w:val="00632917"/>
    <w:rsid w:val="006454FD"/>
    <w:rsid w:val="0065059D"/>
    <w:rsid w:val="00656F6A"/>
    <w:rsid w:val="00657D06"/>
    <w:rsid w:val="00660E99"/>
    <w:rsid w:val="00673AA0"/>
    <w:rsid w:val="006B7988"/>
    <w:rsid w:val="006C1F66"/>
    <w:rsid w:val="006C59BB"/>
    <w:rsid w:val="006D343C"/>
    <w:rsid w:val="006F0E45"/>
    <w:rsid w:val="006F7358"/>
    <w:rsid w:val="007037CF"/>
    <w:rsid w:val="00705849"/>
    <w:rsid w:val="007344EA"/>
    <w:rsid w:val="00737DB2"/>
    <w:rsid w:val="00746C13"/>
    <w:rsid w:val="00761B18"/>
    <w:rsid w:val="007B5FC4"/>
    <w:rsid w:val="007B7ACA"/>
    <w:rsid w:val="007C2911"/>
    <w:rsid w:val="007C7EC2"/>
    <w:rsid w:val="007E245C"/>
    <w:rsid w:val="00804729"/>
    <w:rsid w:val="00812359"/>
    <w:rsid w:val="00855624"/>
    <w:rsid w:val="0087009E"/>
    <w:rsid w:val="008A2D11"/>
    <w:rsid w:val="008A3ABE"/>
    <w:rsid w:val="008B26C8"/>
    <w:rsid w:val="008C344D"/>
    <w:rsid w:val="008C45B5"/>
    <w:rsid w:val="008D4EB2"/>
    <w:rsid w:val="008E57CF"/>
    <w:rsid w:val="008E5865"/>
    <w:rsid w:val="008F3748"/>
    <w:rsid w:val="008F7E21"/>
    <w:rsid w:val="00907759"/>
    <w:rsid w:val="0091045A"/>
    <w:rsid w:val="0091205F"/>
    <w:rsid w:val="00922367"/>
    <w:rsid w:val="009349E2"/>
    <w:rsid w:val="009504E7"/>
    <w:rsid w:val="009663E7"/>
    <w:rsid w:val="009820E4"/>
    <w:rsid w:val="009911F2"/>
    <w:rsid w:val="009918EB"/>
    <w:rsid w:val="009A0AD3"/>
    <w:rsid w:val="009A3846"/>
    <w:rsid w:val="009C12CC"/>
    <w:rsid w:val="009C5B85"/>
    <w:rsid w:val="009D1978"/>
    <w:rsid w:val="009E0F34"/>
    <w:rsid w:val="009E6D64"/>
    <w:rsid w:val="00A1492D"/>
    <w:rsid w:val="00A17339"/>
    <w:rsid w:val="00A3134E"/>
    <w:rsid w:val="00A35273"/>
    <w:rsid w:val="00A379C0"/>
    <w:rsid w:val="00A44C7A"/>
    <w:rsid w:val="00A50A27"/>
    <w:rsid w:val="00A60564"/>
    <w:rsid w:val="00A80EA0"/>
    <w:rsid w:val="00A95369"/>
    <w:rsid w:val="00A9698A"/>
    <w:rsid w:val="00AA3370"/>
    <w:rsid w:val="00AB257A"/>
    <w:rsid w:val="00AB396F"/>
    <w:rsid w:val="00AC5AE4"/>
    <w:rsid w:val="00AD0177"/>
    <w:rsid w:val="00AD2F5B"/>
    <w:rsid w:val="00AE65F3"/>
    <w:rsid w:val="00AF37FC"/>
    <w:rsid w:val="00AF5CF3"/>
    <w:rsid w:val="00B230F2"/>
    <w:rsid w:val="00B33949"/>
    <w:rsid w:val="00B33F69"/>
    <w:rsid w:val="00B45F17"/>
    <w:rsid w:val="00B463B7"/>
    <w:rsid w:val="00B567F8"/>
    <w:rsid w:val="00B62D7C"/>
    <w:rsid w:val="00B6475C"/>
    <w:rsid w:val="00B73072"/>
    <w:rsid w:val="00B7351B"/>
    <w:rsid w:val="00B83C17"/>
    <w:rsid w:val="00B876B1"/>
    <w:rsid w:val="00BA1298"/>
    <w:rsid w:val="00BB4974"/>
    <w:rsid w:val="00BB5BC3"/>
    <w:rsid w:val="00BF5EF1"/>
    <w:rsid w:val="00C055FB"/>
    <w:rsid w:val="00C108C5"/>
    <w:rsid w:val="00C36062"/>
    <w:rsid w:val="00C378A5"/>
    <w:rsid w:val="00C429A3"/>
    <w:rsid w:val="00C63904"/>
    <w:rsid w:val="00C74E57"/>
    <w:rsid w:val="00C962D5"/>
    <w:rsid w:val="00C97AB6"/>
    <w:rsid w:val="00C97F50"/>
    <w:rsid w:val="00CB4455"/>
    <w:rsid w:val="00CC1E33"/>
    <w:rsid w:val="00CC3E47"/>
    <w:rsid w:val="00CE0627"/>
    <w:rsid w:val="00CE757B"/>
    <w:rsid w:val="00D33B3D"/>
    <w:rsid w:val="00D46369"/>
    <w:rsid w:val="00D51D9A"/>
    <w:rsid w:val="00D54B76"/>
    <w:rsid w:val="00D55EEA"/>
    <w:rsid w:val="00D67BCD"/>
    <w:rsid w:val="00D70CC6"/>
    <w:rsid w:val="00D836A9"/>
    <w:rsid w:val="00DA7D8F"/>
    <w:rsid w:val="00DC0940"/>
    <w:rsid w:val="00DC5295"/>
    <w:rsid w:val="00DC71F9"/>
    <w:rsid w:val="00DD569B"/>
    <w:rsid w:val="00DE5612"/>
    <w:rsid w:val="00E07CC8"/>
    <w:rsid w:val="00E22F63"/>
    <w:rsid w:val="00E322A2"/>
    <w:rsid w:val="00E62278"/>
    <w:rsid w:val="00E62452"/>
    <w:rsid w:val="00E757C9"/>
    <w:rsid w:val="00E764D7"/>
    <w:rsid w:val="00E826C0"/>
    <w:rsid w:val="00EA1A90"/>
    <w:rsid w:val="00EA4113"/>
    <w:rsid w:val="00EB322B"/>
    <w:rsid w:val="00ED47F2"/>
    <w:rsid w:val="00ED67E2"/>
    <w:rsid w:val="00EE1E4C"/>
    <w:rsid w:val="00EE5931"/>
    <w:rsid w:val="00F109DA"/>
    <w:rsid w:val="00F204E1"/>
    <w:rsid w:val="00F331FF"/>
    <w:rsid w:val="00F35054"/>
    <w:rsid w:val="00F36AD5"/>
    <w:rsid w:val="00F4399A"/>
    <w:rsid w:val="00F46E51"/>
    <w:rsid w:val="00F60FAA"/>
    <w:rsid w:val="00F7520A"/>
    <w:rsid w:val="00F82B75"/>
    <w:rsid w:val="00F84026"/>
    <w:rsid w:val="00FB1AC4"/>
    <w:rsid w:val="00FB6ECA"/>
    <w:rsid w:val="00FC5490"/>
    <w:rsid w:val="00FD25D0"/>
    <w:rsid w:val="00FF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7D9D"/>
  <w15:chartTrackingRefBased/>
  <w15:docId w15:val="{9252A61B-A966-4FE9-B2B0-9BE32B8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22373"/>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customStyle="1" w:styleId="fn">
    <w:name w:val="fn"/>
    <w:basedOn w:val="DefaultParagraphFont"/>
    <w:rsid w:val="002D0376"/>
  </w:style>
  <w:style w:type="character" w:customStyle="1" w:styleId="street-address">
    <w:name w:val="street-address"/>
    <w:basedOn w:val="DefaultParagraphFont"/>
    <w:rsid w:val="002D0376"/>
  </w:style>
  <w:style w:type="character" w:customStyle="1" w:styleId="postal-code">
    <w:name w:val="postal-code"/>
    <w:basedOn w:val="DefaultParagraphFont"/>
    <w:rsid w:val="002D0376"/>
  </w:style>
  <w:style w:type="character" w:customStyle="1" w:styleId="country-name">
    <w:name w:val="country-name"/>
    <w:basedOn w:val="DefaultParagraphFont"/>
    <w:rsid w:val="002D0376"/>
  </w:style>
  <w:style w:type="paragraph" w:styleId="FootnoteText">
    <w:name w:val="footnote text"/>
    <w:basedOn w:val="Normal"/>
    <w:link w:val="FootnoteTextChar"/>
    <w:uiPriority w:val="99"/>
    <w:unhideWhenUsed/>
    <w:rsid w:val="00C97AB6"/>
    <w:pPr>
      <w:spacing w:after="0" w:line="240" w:lineRule="auto"/>
    </w:pPr>
    <w:rPr>
      <w:sz w:val="20"/>
      <w:szCs w:val="20"/>
    </w:rPr>
  </w:style>
  <w:style w:type="character" w:customStyle="1" w:styleId="FootnoteTextChar">
    <w:name w:val="Footnote Text Char"/>
    <w:basedOn w:val="DefaultParagraphFont"/>
    <w:link w:val="FootnoteText"/>
    <w:uiPriority w:val="99"/>
    <w:rsid w:val="00C97AB6"/>
    <w:rPr>
      <w:sz w:val="20"/>
      <w:szCs w:val="20"/>
    </w:rPr>
  </w:style>
  <w:style w:type="character" w:styleId="FootnoteReference">
    <w:name w:val="footnote reference"/>
    <w:basedOn w:val="DefaultParagraphFont"/>
    <w:uiPriority w:val="99"/>
    <w:semiHidden/>
    <w:unhideWhenUsed/>
    <w:rsid w:val="00C97AB6"/>
    <w:rPr>
      <w:vertAlign w:val="superscript"/>
    </w:rPr>
  </w:style>
  <w:style w:type="character" w:styleId="Hyperlink">
    <w:name w:val="Hyperlink"/>
    <w:basedOn w:val="DefaultParagraphFont"/>
    <w:uiPriority w:val="99"/>
    <w:unhideWhenUsed/>
    <w:rsid w:val="00B6475C"/>
    <w:rPr>
      <w:color w:val="0000FF"/>
      <w:u w:val="single"/>
    </w:rPr>
  </w:style>
  <w:style w:type="character" w:styleId="Emphasis">
    <w:name w:val="Emphasis"/>
    <w:basedOn w:val="DefaultParagraphFont"/>
    <w:uiPriority w:val="20"/>
    <w:qFormat/>
    <w:rsid w:val="00804729"/>
    <w:rPr>
      <w:i/>
      <w:iCs/>
    </w:rPr>
  </w:style>
  <w:style w:type="paragraph" w:styleId="ListParagraph">
    <w:name w:val="List Paragraph"/>
    <w:qFormat/>
    <w:rsid w:val="004D1CE7"/>
    <w:pPr>
      <w:pBdr>
        <w:top w:val="nil"/>
        <w:left w:val="nil"/>
        <w:bottom w:val="nil"/>
        <w:right w:val="nil"/>
        <w:between w:val="nil"/>
        <w:bar w:val="nil"/>
      </w:pBdr>
      <w:ind w:left="720"/>
    </w:pPr>
    <w:rPr>
      <w:rFonts w:ascii="Calibri" w:eastAsia="Arial Unicode MS" w:hAnsi="Calibri" w:cs="Arial Unicode MS"/>
      <w:color w:val="000000"/>
      <w:kern w:val="0"/>
      <w:u w:color="000000"/>
      <w:bdr w:val="nil"/>
      <w:lang w:val="en-US" w:eastAsia="en-GB"/>
      <w14:ligatures w14:val="none"/>
    </w:rPr>
  </w:style>
  <w:style w:type="character" w:customStyle="1" w:styleId="Hyperlink0">
    <w:name w:val="Hyperlink.0"/>
    <w:basedOn w:val="Hyperlink"/>
    <w:rsid w:val="004D1CE7"/>
    <w:rPr>
      <w:outline w:val="0"/>
      <w:color w:val="0563C1"/>
      <w:u w:val="single" w:color="0563C1"/>
    </w:rPr>
  </w:style>
  <w:style w:type="numbering" w:customStyle="1" w:styleId="ImportedStyle1">
    <w:name w:val="Imported Style 1"/>
    <w:rsid w:val="004D1CE7"/>
    <w:pPr>
      <w:numPr>
        <w:numId w:val="2"/>
      </w:numPr>
    </w:pPr>
  </w:style>
  <w:style w:type="character" w:styleId="FollowedHyperlink">
    <w:name w:val="FollowedHyperlink"/>
    <w:basedOn w:val="DefaultParagraphFont"/>
    <w:uiPriority w:val="99"/>
    <w:semiHidden/>
    <w:unhideWhenUsed/>
    <w:rsid w:val="009504E7"/>
    <w:rPr>
      <w:color w:val="954F72" w:themeColor="followedHyperlink"/>
      <w:u w:val="single"/>
    </w:rPr>
  </w:style>
  <w:style w:type="character" w:styleId="UnresolvedMention">
    <w:name w:val="Unresolved Mention"/>
    <w:basedOn w:val="DefaultParagraphFont"/>
    <w:uiPriority w:val="99"/>
    <w:semiHidden/>
    <w:unhideWhenUsed/>
    <w:rsid w:val="006454FD"/>
    <w:rPr>
      <w:color w:val="605E5C"/>
      <w:shd w:val="clear" w:color="auto" w:fill="E1DFDD"/>
    </w:rPr>
  </w:style>
  <w:style w:type="paragraph" w:styleId="Header">
    <w:name w:val="header"/>
    <w:basedOn w:val="Normal"/>
    <w:link w:val="HeaderChar"/>
    <w:uiPriority w:val="99"/>
    <w:unhideWhenUsed/>
    <w:rsid w:val="00A8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A0"/>
  </w:style>
  <w:style w:type="paragraph" w:styleId="Footer">
    <w:name w:val="footer"/>
    <w:basedOn w:val="Normal"/>
    <w:link w:val="FooterChar"/>
    <w:uiPriority w:val="99"/>
    <w:unhideWhenUsed/>
    <w:rsid w:val="00A8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A0"/>
  </w:style>
  <w:style w:type="paragraph" w:customStyle="1" w:styleId="Default">
    <w:name w:val="Default"/>
    <w:rsid w:val="004676C1"/>
    <w:pPr>
      <w:spacing w:before="160" w:after="0" w:line="288" w:lineRule="auto"/>
    </w:pPr>
    <w:rPr>
      <w:rFonts w:ascii="Helvetica Neue" w:eastAsia="Helvetica Neue" w:hAnsi="Helvetica Neue" w:cs="Helvetica Neue"/>
      <w:color w:val="000000"/>
      <w:kern w:val="0"/>
      <w:sz w:val="24"/>
      <w:szCs w:val="24"/>
      <w:u w:color="000000"/>
      <w:lang w:eastAsia="en-GB"/>
      <w14:textOutline w14:w="12700" w14:cap="flat" w14:cmpd="sng" w14:algn="ctr">
        <w14:noFill/>
        <w14:prstDash w14:val="solid"/>
        <w14:miter w14:lim="100000"/>
      </w14:textOutline>
      <w14:ligatures w14:val="none"/>
    </w:rPr>
  </w:style>
  <w:style w:type="numbering" w:customStyle="1" w:styleId="Lettered">
    <w:name w:val="Lettered"/>
    <w:rsid w:val="004676C1"/>
    <w:pPr>
      <w:numPr>
        <w:numId w:val="6"/>
      </w:numPr>
    </w:pPr>
  </w:style>
  <w:style w:type="paragraph" w:styleId="NormalWeb">
    <w:name w:val="Normal (Web)"/>
    <w:basedOn w:val="Normal"/>
    <w:uiPriority w:val="99"/>
    <w:semiHidden/>
    <w:unhideWhenUsed/>
    <w:rsid w:val="00C429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1C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9397">
      <w:bodyDiv w:val="1"/>
      <w:marLeft w:val="0"/>
      <w:marRight w:val="0"/>
      <w:marTop w:val="0"/>
      <w:marBottom w:val="0"/>
      <w:divBdr>
        <w:top w:val="none" w:sz="0" w:space="0" w:color="auto"/>
        <w:left w:val="none" w:sz="0" w:space="0" w:color="auto"/>
        <w:bottom w:val="none" w:sz="0" w:space="0" w:color="auto"/>
        <w:right w:val="none" w:sz="0" w:space="0" w:color="auto"/>
      </w:divBdr>
    </w:div>
    <w:div w:id="226259629">
      <w:bodyDiv w:val="1"/>
      <w:marLeft w:val="0"/>
      <w:marRight w:val="0"/>
      <w:marTop w:val="0"/>
      <w:marBottom w:val="0"/>
      <w:divBdr>
        <w:top w:val="none" w:sz="0" w:space="0" w:color="auto"/>
        <w:left w:val="none" w:sz="0" w:space="0" w:color="auto"/>
        <w:bottom w:val="none" w:sz="0" w:space="0" w:color="auto"/>
        <w:right w:val="none" w:sz="0" w:space="0" w:color="auto"/>
      </w:divBdr>
    </w:div>
    <w:div w:id="1159613279">
      <w:bodyDiv w:val="1"/>
      <w:marLeft w:val="0"/>
      <w:marRight w:val="0"/>
      <w:marTop w:val="0"/>
      <w:marBottom w:val="0"/>
      <w:divBdr>
        <w:top w:val="none" w:sz="0" w:space="0" w:color="auto"/>
        <w:left w:val="none" w:sz="0" w:space="0" w:color="auto"/>
        <w:bottom w:val="none" w:sz="0" w:space="0" w:color="auto"/>
        <w:right w:val="none" w:sz="0" w:space="0" w:color="auto"/>
      </w:divBdr>
    </w:div>
    <w:div w:id="1330669440">
      <w:bodyDiv w:val="1"/>
      <w:marLeft w:val="0"/>
      <w:marRight w:val="0"/>
      <w:marTop w:val="0"/>
      <w:marBottom w:val="0"/>
      <w:divBdr>
        <w:top w:val="none" w:sz="0" w:space="0" w:color="auto"/>
        <w:left w:val="none" w:sz="0" w:space="0" w:color="auto"/>
        <w:bottom w:val="none" w:sz="0" w:space="0" w:color="auto"/>
        <w:right w:val="none" w:sz="0" w:space="0" w:color="auto"/>
      </w:divBdr>
    </w:div>
    <w:div w:id="1715696905">
      <w:bodyDiv w:val="1"/>
      <w:marLeft w:val="0"/>
      <w:marRight w:val="0"/>
      <w:marTop w:val="0"/>
      <w:marBottom w:val="0"/>
      <w:divBdr>
        <w:top w:val="none" w:sz="0" w:space="0" w:color="auto"/>
        <w:left w:val="none" w:sz="0" w:space="0" w:color="auto"/>
        <w:bottom w:val="none" w:sz="0" w:space="0" w:color="auto"/>
        <w:right w:val="none" w:sz="0" w:space="0" w:color="auto"/>
      </w:divBdr>
    </w:div>
    <w:div w:id="2139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manchester.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e.francis@manchester.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prokopyszyn@manchester.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thakkar@manchester.ac.uk" TargetMode="External"/><Relationship Id="rId4" Type="http://schemas.openxmlformats.org/officeDocument/2006/relationships/settings" Target="settings.xml"/><Relationship Id="rId9" Type="http://schemas.openxmlformats.org/officeDocument/2006/relationships/hyperlink" Target="mailto:duncan.ivison@manchester.ac.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bsg.ox.ac.uk/sites/default/files/2019-11/BSG-WP-2019-031.pdf" TargetMode="External"/><Relationship Id="rId18" Type="http://schemas.openxmlformats.org/officeDocument/2006/relationships/hyperlink" Target="https://www.icj-cij.org/sites/default/files/case-related/192/192-20240126-ord-01-00-en.pdf" TargetMode="External"/><Relationship Id="rId26" Type="http://schemas.openxmlformats.org/officeDocument/2006/relationships/hyperlink" Target="https://www.theguardian.com/world/2024/feb/25/gaza-death-toll-set-to-pass-30000-as-israel-prepares-assault-on-rafah" TargetMode="External"/><Relationship Id="rId3" Type="http://schemas.openxmlformats.org/officeDocument/2006/relationships/hyperlink" Target="https://www.amnesty.org/en/latest/press-release/2019/09/arms-companies-failing-to-address-human-rights-risks/" TargetMode="External"/><Relationship Id="rId21" Type="http://schemas.openxmlformats.org/officeDocument/2006/relationships/hyperlink" Target="https://www.un.org/webcast/pdfs/SRES2334-2016.pdf" TargetMode="External"/><Relationship Id="rId34" Type="http://schemas.openxmlformats.org/officeDocument/2006/relationships/hyperlink" Target="https://www.theguardian.com/world/article/2024/aug/18/foreign-office-official-quits-over-uk-refusal-to-ban-arms-exports-to-israel" TargetMode="External"/><Relationship Id="rId7" Type="http://schemas.openxmlformats.org/officeDocument/2006/relationships/hyperlink" Target="https://www.972mag.com/gaza-war-environmental-catastrophe/" TargetMode="External"/><Relationship Id="rId12" Type="http://schemas.openxmlformats.org/officeDocument/2006/relationships/hyperlink" Target="https://lphr.org.uk/latest-news/lphr-legal-memo-on-starvation-of-civilians-in-gaza/" TargetMode="External"/><Relationship Id="rId17" Type="http://schemas.openxmlformats.org/officeDocument/2006/relationships/hyperlink" Target="https://www.icj-cij.org/sites/default/files/case-related/192/192-20240126-ord-01-00-en.pdf" TargetMode="External"/><Relationship Id="rId25" Type="http://schemas.openxmlformats.org/officeDocument/2006/relationships/hyperlink" Target="https://www.hrw.org/news/2023/12/12/letter-uk-government-calling-immediate-halt-uk-arms-transfers-government-israel" TargetMode="External"/><Relationship Id="rId33" Type="http://schemas.openxmlformats.org/officeDocument/2006/relationships/hyperlink" Target="https://www.icc-cpi.int/news/statement-icc-prosecutor-karim-aa-khan-kc-applications-arrest-warrants-situation-state" TargetMode="External"/><Relationship Id="rId2" Type="http://schemas.openxmlformats.org/officeDocument/2006/relationships/hyperlink" Target="https://documents.manchester.ac.uk/display.aspx?DocID=64195" TargetMode="External"/><Relationship Id="rId16" Type="http://schemas.openxmlformats.org/officeDocument/2006/relationships/hyperlink" Target="https://assets.publishing.service.gov.uk/media/5a7e0036ed915d74e33ef66e/WEB_TS_1.2015_Arms_Cm_8993.pdf" TargetMode="External"/><Relationship Id="rId20" Type="http://schemas.openxmlformats.org/officeDocument/2006/relationships/hyperlink" Target="https://documents.un.org/doc/resolution/gen/nr0/399/71/pdf/nr039971.pdf" TargetMode="External"/><Relationship Id="rId29" Type="http://schemas.openxmlformats.org/officeDocument/2006/relationships/hyperlink" Target="https://www.theguardian.com/world/2024/mar/30/uk-government-lawyers-say-israel-is-breaking-international-law-claims-top-tory-in-leaked-recording" TargetMode="External"/><Relationship Id="rId1" Type="http://schemas.openxmlformats.org/officeDocument/2006/relationships/hyperlink" Target="https://www.ohchr.org/en/press-releases/2024/01/gaza-icj-ruling-offers-hope-protection-civilians-enduring-apocalyptic" TargetMode="External"/><Relationship Id="rId6" Type="http://schemas.openxmlformats.org/officeDocument/2006/relationships/hyperlink" Target="https://www.aljazeera.com/news/2023/10/11/gaza-faces-humanitarian-catastrophe-as-sole-power-plant-runs-out-of-fuel" TargetMode="External"/><Relationship Id="rId11" Type="http://schemas.openxmlformats.org/officeDocument/2006/relationships/hyperlink" Target="https://www.thelancet.com/journals/lancet/article/PIIS0140-6736(24)01169-3/fulltext" TargetMode="External"/><Relationship Id="rId24" Type="http://schemas.openxmlformats.org/officeDocument/2006/relationships/hyperlink" Target="https://www.ohchr.org/en/press-releases/2024/03/un-human-rights-chief-deplores-new-moves-expand-israeli-settlements-occupied" TargetMode="External"/><Relationship Id="rId32" Type="http://schemas.openxmlformats.org/officeDocument/2006/relationships/hyperlink" Target="https://www.icc-cpi.int/news/statement-icc-prosecutor-karim-aa-khan-kc-applications-arrest-warrants-situation-state" TargetMode="External"/><Relationship Id="rId5" Type="http://schemas.openxmlformats.org/officeDocument/2006/relationships/hyperlink" Target="https://edition.cnn.com/2024/08/23/middleeast/israel-gaza-water-shortages-heatwave-crisis-intl/index.html" TargetMode="External"/><Relationship Id="rId15" Type="http://schemas.openxmlformats.org/officeDocument/2006/relationships/hyperlink" Target="https://www.gov.uk/government/news/arms-trade-treaty-enters-into-force" TargetMode="External"/><Relationship Id="rId23" Type="http://schemas.openxmlformats.org/officeDocument/2006/relationships/hyperlink" Target="https://www.ohchr.org/en/press-releases/2024/03/un-human-rights-chief-deplores-new-moves-expand-israeli-settlements-occupied" TargetMode="External"/><Relationship Id="rId28" Type="http://schemas.openxmlformats.org/officeDocument/2006/relationships/hyperlink" Target="https://register-of-charities.charitycommission.gov.uk/charity-search/-/charity-details/4019048/governing-document" TargetMode="External"/><Relationship Id="rId10" Type="http://schemas.openxmlformats.org/officeDocument/2006/relationships/hyperlink" Target="https://www.reuters.com/world/middle-east/gaza-death-toll-how-many-palestinians-has-israels-campaign-killed-2024-07-25/" TargetMode="External"/><Relationship Id="rId19" Type="http://schemas.openxmlformats.org/officeDocument/2006/relationships/hyperlink" Target="https://documents.un.org/doc/resolution/gen/nr0/370/60/pdf/nr037060.pdf" TargetMode="External"/><Relationship Id="rId31" Type="http://schemas.openxmlformats.org/officeDocument/2006/relationships/hyperlink" Target="https://www.ohchr.org/en/documents/country-reports/ahrc5573-report-special-rapporteur-situation-human-rights-palestinian" TargetMode="External"/><Relationship Id="rId4" Type="http://schemas.openxmlformats.org/officeDocument/2006/relationships/hyperlink" Target="https://www.ohchr.org/en/press-releases/2024/06/states-and-companies-must-end-arms-transfers-israel-immediately-or-risk" TargetMode="External"/><Relationship Id="rId9" Type="http://schemas.openxmlformats.org/officeDocument/2006/relationships/hyperlink" Target="https://www.ohchr.org/en/press-releases/2024/01/over-one-hundred-days-war-israel-destroying-gazas-food-system-and" TargetMode="External"/><Relationship Id="rId14" Type="http://schemas.openxmlformats.org/officeDocument/2006/relationships/hyperlink" Target="https://www.yanisvaroufakis.eu/2023/10/15/list-of-war-crimes-and-crimes-qualifying-as-genocide-committed-by-israel-in-gaza-since-7th-october-2023/" TargetMode="External"/><Relationship Id="rId22" Type="http://schemas.openxmlformats.org/officeDocument/2006/relationships/hyperlink" Target="https://www.ohchr.org/en/press-releases/2024/07/experts-hail-icj-declaration-illegality-israels-presence-occupied" TargetMode="External"/><Relationship Id="rId27" Type="http://schemas.openxmlformats.org/officeDocument/2006/relationships/hyperlink" Target="https://news.sky.com/video/evacuate-where-to-the-moon-13070316" TargetMode="External"/><Relationship Id="rId30" Type="http://schemas.openxmlformats.org/officeDocument/2006/relationships/hyperlink" Target="https://hansard.parliament.uk/commons/2023-12-12/debates/BF12F435-8E9A-44B0-AA34-ADA9D01616E0/ArmsExportLicencesIsrael" TargetMode="External"/><Relationship Id="rId35" Type="http://schemas.openxmlformats.org/officeDocument/2006/relationships/hyperlink" Target="https://x.com/BDSmovement/status/1825604919279210780" TargetMode="External"/><Relationship Id="rId8" Type="http://schemas.openxmlformats.org/officeDocument/2006/relationships/hyperlink" Target="https://www.euronews.com/green/2024/06/07/jet-fuel-bombs-and-concrete-the-60-million-tonnes-of-carbon-generated-by-israels-war-on-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193E-BC5A-4506-9034-0CCEA9E5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3428</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Rayla K</dc:creator>
  <cp:keywords/>
  <dc:description/>
  <cp:lastModifiedBy>Opinion Free</cp:lastModifiedBy>
  <cp:revision>2</cp:revision>
  <dcterms:created xsi:type="dcterms:W3CDTF">2024-10-14T22:09:00Z</dcterms:created>
  <dcterms:modified xsi:type="dcterms:W3CDTF">2024-10-14T22:09:00Z</dcterms:modified>
</cp:coreProperties>
</file>